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CF87" w14:textId="5BEA86EC" w:rsidR="00B91EFE" w:rsidRDefault="00B91EFE" w:rsidP="00B91EFE">
      <w:pPr>
        <w:widowControl w:val="0"/>
        <w:pBdr>
          <w:top w:val="nil"/>
          <w:left w:val="nil"/>
          <w:bottom w:val="nil"/>
          <w:right w:val="nil"/>
          <w:between w:val="nil"/>
        </w:pBdr>
        <w:spacing w:line="240" w:lineRule="auto"/>
        <w:ind w:left="1440" w:right="4548"/>
        <w:jc w:val="right"/>
        <w:rPr>
          <w:rFonts w:ascii="Times New Roman" w:eastAsia="Times New Roman" w:hAnsi="Times New Roman" w:cs="Times New Roman"/>
          <w:b/>
          <w:bCs/>
          <w:color w:val="00000A"/>
          <w:sz w:val="23"/>
          <w:szCs w:val="23"/>
        </w:rPr>
      </w:pPr>
      <w:r>
        <w:rPr>
          <w:noProof/>
        </w:rPr>
        <w:drawing>
          <wp:anchor distT="0" distB="0" distL="114300" distR="114300" simplePos="0" relativeHeight="251660288" behindDoc="0" locked="0" layoutInCell="1" allowOverlap="1" wp14:anchorId="4E951A86" wp14:editId="142B61A4">
            <wp:simplePos x="0" y="0"/>
            <wp:positionH relativeFrom="margin">
              <wp:posOffset>5161280</wp:posOffset>
            </wp:positionH>
            <wp:positionV relativeFrom="paragraph">
              <wp:posOffset>0</wp:posOffset>
            </wp:positionV>
            <wp:extent cx="1073150" cy="1066800"/>
            <wp:effectExtent l="0" t="0" r="0" b="0"/>
            <wp:wrapThrough wrapText="bothSides">
              <wp:wrapPolygon edited="0">
                <wp:start x="0" y="0"/>
                <wp:lineTo x="0" y="21214"/>
                <wp:lineTo x="21089" y="21214"/>
                <wp:lineTo x="21089" y="0"/>
                <wp:lineTo x="0" y="0"/>
              </wp:wrapPolygon>
            </wp:wrapThrough>
            <wp:docPr id="5848049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19050" distB="19050" distL="19050" distR="19050" simplePos="0" relativeHeight="251659264" behindDoc="0" locked="0" layoutInCell="1" hidden="0" allowOverlap="1" wp14:anchorId="67B12C3D" wp14:editId="067F6B95">
            <wp:simplePos x="0" y="0"/>
            <wp:positionH relativeFrom="margin">
              <wp:align>left</wp:align>
            </wp:positionH>
            <wp:positionV relativeFrom="paragraph">
              <wp:posOffset>0</wp:posOffset>
            </wp:positionV>
            <wp:extent cx="1200150" cy="1066800"/>
            <wp:effectExtent l="0" t="0" r="0" b="0"/>
            <wp:wrapSquare wrapText="righ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10668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A"/>
          <w:sz w:val="23"/>
          <w:szCs w:val="23"/>
        </w:rPr>
        <w:t xml:space="preserve">I.V.G.T SRL </w:t>
      </w:r>
    </w:p>
    <w:p w14:paraId="3EE33214" w14:textId="017D3EBF" w:rsidR="00B91EFE" w:rsidRDefault="00B91EFE" w:rsidP="00B91EFE">
      <w:pPr>
        <w:widowControl w:val="0"/>
        <w:pBdr>
          <w:top w:val="nil"/>
          <w:left w:val="nil"/>
          <w:bottom w:val="nil"/>
          <w:right w:val="nil"/>
          <w:between w:val="nil"/>
        </w:pBdr>
        <w:spacing w:line="240" w:lineRule="auto"/>
        <w:ind w:left="1440" w:right="2705"/>
        <w:jc w:val="center"/>
        <w:rPr>
          <w:rFonts w:ascii="Times New Roman" w:eastAsia="Times New Roman" w:hAnsi="Times New Roman" w:cs="Times New Roman"/>
          <w:b/>
          <w:bCs/>
          <w:color w:val="00000A"/>
          <w:sz w:val="23"/>
          <w:szCs w:val="23"/>
        </w:rPr>
      </w:pPr>
      <w:r>
        <w:rPr>
          <w:rFonts w:ascii="Times New Roman" w:eastAsia="Times New Roman" w:hAnsi="Times New Roman" w:cs="Times New Roman"/>
          <w:b/>
          <w:bCs/>
          <w:color w:val="00000A"/>
          <w:sz w:val="23"/>
          <w:szCs w:val="23"/>
        </w:rPr>
        <w:t xml:space="preserve">ISTITUTO VENDITE GIUDIZIARE DEL TRENTINO </w:t>
      </w:r>
    </w:p>
    <w:p w14:paraId="2D050069" w14:textId="77777777" w:rsidR="00B91EFE" w:rsidRDefault="00B91EFE" w:rsidP="00B91EFE">
      <w:pPr>
        <w:widowControl w:val="0"/>
        <w:pBdr>
          <w:top w:val="nil"/>
          <w:left w:val="nil"/>
          <w:bottom w:val="nil"/>
          <w:right w:val="nil"/>
          <w:between w:val="nil"/>
        </w:pBdr>
        <w:spacing w:line="240" w:lineRule="auto"/>
        <w:ind w:left="1440" w:right="400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sede operativa: Via Fersina 12/a,  </w:t>
      </w:r>
    </w:p>
    <w:p w14:paraId="33ED7923" w14:textId="77777777" w:rsidR="00B91EFE" w:rsidRDefault="00B91EFE" w:rsidP="00B91EFE">
      <w:pPr>
        <w:widowControl w:val="0"/>
        <w:pBdr>
          <w:top w:val="nil"/>
          <w:left w:val="nil"/>
          <w:bottom w:val="nil"/>
          <w:right w:val="nil"/>
          <w:between w:val="nil"/>
        </w:pBdr>
        <w:spacing w:line="240" w:lineRule="auto"/>
        <w:ind w:right="451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tel. 0461/923082  </w:t>
      </w:r>
    </w:p>
    <w:p w14:paraId="384D0803" w14:textId="07909FDB" w:rsid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c.f. e piva 02239880228 </w:t>
      </w:r>
    </w:p>
    <w:p w14:paraId="64A0C076" w14:textId="77777777" w:rsidR="00B91EFE" w:rsidRP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hyperlink r:id="rId8" w:history="1">
        <w:r w:rsidRPr="00B91EFE">
          <w:rPr>
            <w:rStyle w:val="Collegamentoipertestuale"/>
            <w:rFonts w:ascii="Times New Roman" w:eastAsia="Times New Roman" w:hAnsi="Times New Roman" w:cs="Times New Roman"/>
            <w:sz w:val="18"/>
            <w:szCs w:val="18"/>
          </w:rPr>
          <w:t>ivgtrento@gmail.com</w:t>
        </w:r>
      </w:hyperlink>
    </w:p>
    <w:p w14:paraId="1AB86E68" w14:textId="02576F04" w:rsidR="00B91EFE" w:rsidRDefault="00B91EFE" w:rsidP="00B91EFE">
      <w:pPr>
        <w:widowControl w:val="0"/>
        <w:pBdr>
          <w:top w:val="nil"/>
          <w:left w:val="nil"/>
          <w:bottom w:val="nil"/>
          <w:right w:val="nil"/>
          <w:between w:val="nil"/>
        </w:pBdr>
        <w:spacing w:line="240" w:lineRule="auto"/>
        <w:ind w:right="3059"/>
        <w:jc w:val="center"/>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ivgtrento@associazioneivg.legalmail.it</w:t>
      </w:r>
    </w:p>
    <w:p w14:paraId="6DF6292B" w14:textId="77777777" w:rsidR="00B91EFE" w:rsidRDefault="00B91EFE" w:rsidP="00B91EFE">
      <w:pPr>
        <w:widowControl w:val="0"/>
        <w:pBdr>
          <w:top w:val="nil"/>
          <w:left w:val="nil"/>
          <w:bottom w:val="nil"/>
          <w:right w:val="nil"/>
          <w:between w:val="nil"/>
        </w:pBdr>
        <w:spacing w:line="240" w:lineRule="auto"/>
        <w:ind w:right="4298"/>
        <w:jc w:val="center"/>
        <w:rPr>
          <w:rFonts w:ascii="Times New Roman" w:eastAsia="Times New Roman" w:hAnsi="Times New Roman" w:cs="Times New Roman"/>
          <w:color w:val="00000A"/>
          <w:sz w:val="18"/>
          <w:szCs w:val="18"/>
        </w:rPr>
      </w:pPr>
    </w:p>
    <w:p w14:paraId="4411A996" w14:textId="77777777" w:rsidR="00B91EFE" w:rsidRDefault="00B91EFE" w:rsidP="00E531D8">
      <w:pPr>
        <w:widowControl w:val="0"/>
        <w:pBdr>
          <w:top w:val="nil"/>
          <w:left w:val="nil"/>
          <w:bottom w:val="nil"/>
          <w:right w:val="nil"/>
          <w:between w:val="nil"/>
        </w:pBdr>
        <w:spacing w:before="888" w:line="240" w:lineRule="auto"/>
        <w:ind w:right="393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Tribunale di TRENTO </w:t>
      </w:r>
    </w:p>
    <w:p w14:paraId="74A3AD7D" w14:textId="77777777" w:rsidR="00B91EFE" w:rsidRDefault="00B91EFE" w:rsidP="00B91EFE">
      <w:pPr>
        <w:widowControl w:val="0"/>
        <w:pBdr>
          <w:top w:val="nil"/>
          <w:left w:val="nil"/>
          <w:bottom w:val="nil"/>
          <w:right w:val="nil"/>
          <w:between w:val="nil"/>
        </w:pBdr>
        <w:spacing w:line="240" w:lineRule="auto"/>
        <w:ind w:right="301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Sezione PROCEDURE CONCORSUALI </w:t>
      </w:r>
    </w:p>
    <w:p w14:paraId="464397FC" w14:textId="77777777" w:rsidR="00B91EFE" w:rsidRDefault="00B91EFE" w:rsidP="00B91EFE">
      <w:pPr>
        <w:widowControl w:val="0"/>
        <w:pBdr>
          <w:top w:val="nil"/>
          <w:left w:val="nil"/>
          <w:bottom w:val="nil"/>
          <w:right w:val="nil"/>
          <w:between w:val="nil"/>
        </w:pBdr>
        <w:spacing w:before="658" w:line="240" w:lineRule="auto"/>
        <w:ind w:right="2126"/>
        <w:jc w:val="right"/>
        <w:rPr>
          <w:rFonts w:ascii="Times New Roman" w:eastAsia="Times New Roman" w:hAnsi="Times New Roman" w:cs="Times New Roman"/>
          <w:b/>
          <w:bCs/>
          <w:color w:val="000000"/>
          <w:sz w:val="31"/>
          <w:szCs w:val="31"/>
        </w:rPr>
      </w:pPr>
      <w:r>
        <w:rPr>
          <w:rFonts w:ascii="Times New Roman" w:eastAsia="Times New Roman" w:hAnsi="Times New Roman" w:cs="Times New Roman"/>
          <w:b/>
          <w:bCs/>
          <w:color w:val="000000"/>
          <w:sz w:val="31"/>
          <w:szCs w:val="31"/>
        </w:rPr>
        <w:t xml:space="preserve">LIQUIDAZIONE GIUDIZIALE N. 31/2025 </w:t>
      </w:r>
    </w:p>
    <w:p w14:paraId="2A2A76E4" w14:textId="77777777" w:rsidR="00B91EFE" w:rsidRDefault="00B91EFE" w:rsidP="00B91EFE">
      <w:pPr>
        <w:widowControl w:val="0"/>
        <w:pBdr>
          <w:top w:val="nil"/>
          <w:left w:val="nil"/>
          <w:bottom w:val="nil"/>
          <w:right w:val="nil"/>
          <w:between w:val="nil"/>
        </w:pBdr>
        <w:spacing w:before="189" w:line="240" w:lineRule="auto"/>
        <w:ind w:right="240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GIUDICE DELEGATO: Dott. BENEDETTO SIEFF </w:t>
      </w:r>
    </w:p>
    <w:p w14:paraId="3A1FC239" w14:textId="77777777" w:rsidR="00B91EFE" w:rsidRDefault="00B91EFE" w:rsidP="00B91EFE">
      <w:pPr>
        <w:widowControl w:val="0"/>
        <w:pBdr>
          <w:top w:val="nil"/>
          <w:left w:val="nil"/>
          <w:bottom w:val="nil"/>
          <w:right w:val="nil"/>
          <w:between w:val="nil"/>
        </w:pBdr>
        <w:spacing w:before="178" w:line="240" w:lineRule="auto"/>
        <w:ind w:right="280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LIQUIDATORE: Dott.ssa Patrizia Gentil </w:t>
      </w:r>
    </w:p>
    <w:p w14:paraId="6F6AE3CA" w14:textId="77777777" w:rsidR="00B91EFE" w:rsidRDefault="00B91EFE" w:rsidP="00B91EFE">
      <w:pPr>
        <w:widowControl w:val="0"/>
        <w:pBdr>
          <w:top w:val="nil"/>
          <w:left w:val="nil"/>
          <w:bottom w:val="nil"/>
          <w:right w:val="nil"/>
          <w:between w:val="nil"/>
        </w:pBdr>
        <w:spacing w:before="178" w:line="240" w:lineRule="auto"/>
        <w:ind w:right="266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DELEGATO ALLA VENDITA: IVG TRENTO </w:t>
      </w:r>
    </w:p>
    <w:p w14:paraId="72B1A97A" w14:textId="77777777" w:rsidR="00B91EFE" w:rsidRDefault="00B91EFE" w:rsidP="00B91EFE">
      <w:pPr>
        <w:widowControl w:val="0"/>
        <w:pBdr>
          <w:top w:val="nil"/>
          <w:left w:val="nil"/>
          <w:bottom w:val="nil"/>
          <w:right w:val="nil"/>
          <w:between w:val="nil"/>
        </w:pBdr>
        <w:spacing w:before="634" w:line="240" w:lineRule="auto"/>
        <w:ind w:right="457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14:paraId="0B17F187" w14:textId="77777777" w:rsidR="00B91EFE" w:rsidRDefault="00B91EFE" w:rsidP="00B91EFE">
      <w:pPr>
        <w:widowControl w:val="0"/>
        <w:pBdr>
          <w:top w:val="nil"/>
          <w:left w:val="nil"/>
          <w:bottom w:val="nil"/>
          <w:right w:val="nil"/>
          <w:between w:val="nil"/>
        </w:pBdr>
        <w:spacing w:before="780" w:line="240" w:lineRule="auto"/>
        <w:ind w:right="3211"/>
        <w:jc w:val="right"/>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AVVISO DI VENDITA</w:t>
      </w:r>
    </w:p>
    <w:p w14:paraId="30998928" w14:textId="77777777" w:rsidR="00B91EFE" w:rsidRDefault="00B91EFE" w:rsidP="00B91EFE">
      <w:pPr>
        <w:widowControl w:val="0"/>
        <w:pBdr>
          <w:top w:val="nil"/>
          <w:left w:val="nil"/>
          <w:bottom w:val="nil"/>
          <w:right w:val="nil"/>
          <w:between w:val="nil"/>
        </w:pBdr>
        <w:spacing w:before="192" w:line="240" w:lineRule="auto"/>
        <w:ind w:right="402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SINCRONA MISTA</w:t>
      </w:r>
    </w:p>
    <w:p w14:paraId="54E5EF6E" w14:textId="1A62B102" w:rsidR="00B91EFE" w:rsidRDefault="00157D22" w:rsidP="00E531D8">
      <w:pPr>
        <w:widowControl w:val="0"/>
        <w:pBdr>
          <w:top w:val="nil"/>
          <w:left w:val="nil"/>
          <w:bottom w:val="nil"/>
          <w:right w:val="nil"/>
          <w:between w:val="nil"/>
        </w:pBdr>
        <w:spacing w:before="634"/>
        <w:ind w:right="239"/>
        <w:jc w:val="both"/>
        <w:rPr>
          <w:rFonts w:ascii="Times New Roman" w:eastAsia="Times New Roman" w:hAnsi="Times New Roman" w:cs="Times New Roman"/>
          <w:b/>
          <w:bCs/>
          <w:color w:val="000000"/>
          <w:sz w:val="24"/>
          <w:szCs w:val="24"/>
        </w:rPr>
      </w:pPr>
      <w:r w:rsidRPr="00157D22">
        <w:rPr>
          <w:rFonts w:ascii="Times New Roman" w:eastAsia="Times New Roman" w:hAnsi="Times New Roman" w:cs="Times New Roman"/>
          <w:color w:val="000000"/>
          <w:sz w:val="24"/>
          <w:szCs w:val="24"/>
        </w:rPr>
        <w:t>La sottoscritta Dottoressa Patrizia Gentil della Liquidazione Giudiziale n.31/2025, attraverso il delegato Istituto Vendite Giudiziarie del Trentino (in sigla IVGT S.r.l.), avvisa che si procederà alla vendita dei seguenti beni</w:t>
      </w:r>
      <w:r w:rsidR="00B91EFE">
        <w:rPr>
          <w:rFonts w:ascii="Times New Roman" w:eastAsia="Times New Roman" w:hAnsi="Times New Roman" w:cs="Times New Roman"/>
          <w:color w:val="000000"/>
          <w:sz w:val="24"/>
          <w:szCs w:val="24"/>
        </w:rPr>
        <w:t xml:space="preserve">: </w:t>
      </w:r>
      <w:r w:rsidR="005B1DF5">
        <w:rPr>
          <w:rFonts w:ascii="Times New Roman" w:eastAsia="Times New Roman" w:hAnsi="Times New Roman" w:cs="Times New Roman"/>
          <w:b/>
          <w:bCs/>
          <w:color w:val="000000"/>
          <w:sz w:val="24"/>
          <w:szCs w:val="24"/>
        </w:rPr>
        <w:t>LOTTO 4 DEPOSITO INTERRATO INACESSIBILE DELLA SUPERFICIE CIRCA MQ 83, CON RAMPA DI ACCESSO E CORSIA D’ACCESSO AD ALTRE UNITA’ IMMOBILIARI sita in Via Sotto Samonte Borgo Valsugana (TN).</w:t>
      </w:r>
    </w:p>
    <w:p w14:paraId="141F3218" w14:textId="77777777" w:rsidR="00B91EFE" w:rsidRDefault="00B91EFE" w:rsidP="00E531D8">
      <w:pPr>
        <w:widowControl w:val="0"/>
        <w:pBdr>
          <w:top w:val="nil"/>
          <w:left w:val="nil"/>
          <w:bottom w:val="nil"/>
          <w:right w:val="nil"/>
          <w:between w:val="nil"/>
        </w:pBdr>
        <w:spacing w:before="282"/>
        <w:ind w:right="466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AVVISA</w:t>
      </w:r>
    </w:p>
    <w:p w14:paraId="0BD1821D" w14:textId="77777777" w:rsidR="00B91EFE" w:rsidRDefault="00B91EFE" w:rsidP="00E531D8">
      <w:pPr>
        <w:widowControl w:val="0"/>
        <w:pBdr>
          <w:top w:val="nil"/>
          <w:left w:val="nil"/>
          <w:bottom w:val="nil"/>
          <w:right w:val="nil"/>
          <w:between w:val="nil"/>
        </w:pBdr>
        <w:spacing w:before="271"/>
        <w:ind w:right="24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il </w:t>
      </w:r>
      <w:r>
        <w:rPr>
          <w:rFonts w:ascii="Times New Roman" w:eastAsia="Times New Roman" w:hAnsi="Times New Roman" w:cs="Times New Roman"/>
          <w:b/>
          <w:bCs/>
          <w:color w:val="000000"/>
          <w:sz w:val="24"/>
          <w:szCs w:val="24"/>
        </w:rPr>
        <w:t xml:space="preserve">giorno 15 DICEMBRE 2026 alle ore 12.00 </w:t>
      </w:r>
      <w:r>
        <w:rPr>
          <w:rFonts w:ascii="Times New Roman" w:eastAsia="Times New Roman" w:hAnsi="Times New Roman" w:cs="Times New Roman"/>
          <w:color w:val="000000"/>
          <w:sz w:val="24"/>
          <w:szCs w:val="24"/>
        </w:rPr>
        <w:t xml:space="preserve">si darà luogo alla vendita dell’immobile sotto descritto, alle condizioni e modalità di seguito indicate. </w:t>
      </w:r>
    </w:p>
    <w:p w14:paraId="7F793945" w14:textId="77777777" w:rsidR="00B91EFE" w:rsidRDefault="00B91EFE" w:rsidP="00E531D8">
      <w:pPr>
        <w:widowControl w:val="0"/>
        <w:pBdr>
          <w:top w:val="nil"/>
          <w:left w:val="nil"/>
          <w:bottom w:val="nil"/>
          <w:right w:val="nil"/>
          <w:between w:val="nil"/>
        </w:pBdr>
        <w:spacing w:before="282"/>
        <w:ind w:right="477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FISSA</w:t>
      </w:r>
    </w:p>
    <w:p w14:paraId="05376AD2" w14:textId="07F61258" w:rsidR="00B91EFE" w:rsidRDefault="00B91EFE" w:rsidP="00E531D8">
      <w:pPr>
        <w:widowControl w:val="0"/>
        <w:pBdr>
          <w:top w:val="nil"/>
          <w:left w:val="nil"/>
          <w:bottom w:val="nil"/>
          <w:right w:val="nil"/>
          <w:between w:val="nil"/>
        </w:pBdr>
        <w:spacing w:before="271"/>
        <w:ind w:right="2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quale prezzo base di vendita le somme stabilite per il lotto come di seguito indicato, oltre IVA se e ove dovuta, con offerte in aumento non inferiori a quanto indicato di seguito. </w:t>
      </w:r>
    </w:p>
    <w:p w14:paraId="38727BF1" w14:textId="471DBD85" w:rsidR="00E531D8" w:rsidRDefault="00E531D8" w:rsidP="00E531D8">
      <w:pPr>
        <w:widowControl w:val="0"/>
        <w:pBdr>
          <w:top w:val="nil"/>
          <w:left w:val="nil"/>
          <w:bottom w:val="nil"/>
          <w:right w:val="nil"/>
          <w:between w:val="nil"/>
        </w:pBdr>
        <w:ind w:right="236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DESCRIZIONE DEL LOTTO </w:t>
      </w:r>
      <w:r w:rsidR="005B1DF5">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 xml:space="preserve"> POSTO IN VENDITA </w:t>
      </w:r>
    </w:p>
    <w:p w14:paraId="1AE1E734" w14:textId="5AB14960" w:rsidR="005B1DF5" w:rsidRPr="009E5053" w:rsidRDefault="005B1DF5" w:rsidP="005B1DF5">
      <w:pPr>
        <w:widowControl w:val="0"/>
        <w:pBdr>
          <w:top w:val="nil"/>
          <w:left w:val="nil"/>
          <w:bottom w:val="nil"/>
          <w:right w:val="nil"/>
          <w:between w:val="nil"/>
        </w:pBdr>
        <w:spacing w:before="272"/>
        <w:ind w:right="397"/>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u w:val="single"/>
        </w:rPr>
        <w:lastRenderedPageBreak/>
        <w:t xml:space="preserve">Dalla perizia del CTU </w:t>
      </w:r>
      <w:proofErr w:type="spellStart"/>
      <w:r w:rsidRPr="009E5053">
        <w:rPr>
          <w:rFonts w:ascii="Times New Roman" w:eastAsia="Times New Roman" w:hAnsi="Times New Roman" w:cs="Times New Roman"/>
          <w:b/>
          <w:bCs/>
          <w:color w:val="000000"/>
          <w:sz w:val="24"/>
          <w:szCs w:val="24"/>
          <w:u w:val="single"/>
        </w:rPr>
        <w:t>dd</w:t>
      </w:r>
      <w:proofErr w:type="spellEnd"/>
      <w:r w:rsidRPr="009E5053">
        <w:rPr>
          <w:rFonts w:ascii="Times New Roman" w:eastAsia="Times New Roman" w:hAnsi="Times New Roman" w:cs="Times New Roman"/>
          <w:b/>
          <w:bCs/>
          <w:color w:val="000000"/>
          <w:sz w:val="24"/>
          <w:szCs w:val="24"/>
          <w:u w:val="single"/>
        </w:rPr>
        <w:t>. 10/07/2026, che qui deve intendersi richiamata e trascritta, risulta</w:t>
      </w:r>
      <w:r w:rsidRPr="009E5053">
        <w:rPr>
          <w:rFonts w:ascii="Times New Roman" w:eastAsia="Times New Roman" w:hAnsi="Times New Roman" w:cs="Times New Roman"/>
          <w:color w:val="000000"/>
          <w:sz w:val="24"/>
          <w:szCs w:val="24"/>
        </w:rPr>
        <w:t xml:space="preserve">: DEPOSITO sita in Via Sotto Samonte, 7 Borgo Valsugana (TN). </w:t>
      </w:r>
    </w:p>
    <w:p w14:paraId="676F8324"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3C06E055" w14:textId="5E58C1DD"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 xml:space="preserve">La </w:t>
      </w:r>
      <w:r w:rsidRPr="009E5053">
        <w:rPr>
          <w:rFonts w:ascii="Times New Roman" w:hAnsi="Times New Roman" w:cs="Times New Roman"/>
          <w:b/>
          <w:bCs/>
          <w:sz w:val="24"/>
          <w:szCs w:val="24"/>
        </w:rPr>
        <w:t>P.ED. 2519 è divisa in porzioni materiali e la P.M. 10</w:t>
      </w:r>
      <w:r w:rsidRPr="009E5053">
        <w:rPr>
          <w:rFonts w:ascii="Times New Roman" w:hAnsi="Times New Roman" w:cs="Times New Roman"/>
          <w:sz w:val="24"/>
          <w:szCs w:val="24"/>
        </w:rPr>
        <w:t xml:space="preserve"> viene così descritta: deposito, rampa e tunnel di accesso; rampa di accesso.</w:t>
      </w:r>
      <w:r>
        <w:rPr>
          <w:rFonts w:ascii="Times New Roman" w:hAnsi="Times New Roman" w:cs="Times New Roman"/>
          <w:sz w:val="24"/>
          <w:szCs w:val="24"/>
        </w:rPr>
        <w:t xml:space="preserve"> </w:t>
      </w:r>
      <w:r w:rsidRPr="009E5053">
        <w:rPr>
          <w:rFonts w:ascii="Times New Roman" w:hAnsi="Times New Roman" w:cs="Times New Roman"/>
          <w:sz w:val="24"/>
          <w:szCs w:val="24"/>
        </w:rPr>
        <w:t>Privo di parti comuni.</w:t>
      </w:r>
    </w:p>
    <w:p w14:paraId="6ED8F810"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14B18031" w14:textId="1553EBBA"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FABBRICATO </w:t>
      </w:r>
    </w:p>
    <w:p w14:paraId="362F70D8" w14:textId="2A7DA525"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 xml:space="preserve">La P.ED. 2519 del Comune Catastale di Borgo identifica un edificio di tipo residenziale posto nella periferia sud del Comune di Borgo Valsugana. </w:t>
      </w:r>
      <w:proofErr w:type="gramStart"/>
      <w:r w:rsidRPr="009E5053">
        <w:rPr>
          <w:rFonts w:ascii="Times New Roman" w:hAnsi="Times New Roman" w:cs="Times New Roman"/>
          <w:sz w:val="24"/>
          <w:szCs w:val="24"/>
        </w:rPr>
        <w:t>E’</w:t>
      </w:r>
      <w:proofErr w:type="gramEnd"/>
      <w:r w:rsidRPr="009E5053">
        <w:rPr>
          <w:rFonts w:ascii="Times New Roman" w:hAnsi="Times New Roman" w:cs="Times New Roman"/>
          <w:sz w:val="24"/>
          <w:szCs w:val="24"/>
        </w:rPr>
        <w:t xml:space="preserve"> stato costruito sulla base della Concessione di Edificare N°7380/1991 e successive varianti. L’immobile è formato da un piano interrato destinato a garage e vani</w:t>
      </w:r>
      <w:r>
        <w:rPr>
          <w:rFonts w:ascii="Times New Roman" w:hAnsi="Times New Roman" w:cs="Times New Roman"/>
          <w:sz w:val="24"/>
          <w:szCs w:val="24"/>
        </w:rPr>
        <w:t xml:space="preserve"> </w:t>
      </w:r>
      <w:r w:rsidRPr="009E5053">
        <w:rPr>
          <w:rFonts w:ascii="Times New Roman" w:hAnsi="Times New Roman" w:cs="Times New Roman"/>
          <w:sz w:val="24"/>
          <w:szCs w:val="24"/>
        </w:rPr>
        <w:t>accessori, un piano terra ed un piano primo destinato a quattro abitazioni di tipo duplex.</w:t>
      </w:r>
    </w:p>
    <w:p w14:paraId="51ADF168" w14:textId="7D48C123"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Strutturalmente è stato realizzato con una struttura portante in calcestruzzo armato, con tamponamenti in mattoni e solai in latero cemento. La qualità generale delle finiture interne ed esterne si può classificare</w:t>
      </w:r>
      <w:r>
        <w:rPr>
          <w:rFonts w:ascii="Times New Roman" w:hAnsi="Times New Roman" w:cs="Times New Roman"/>
          <w:sz w:val="24"/>
          <w:szCs w:val="24"/>
        </w:rPr>
        <w:t xml:space="preserve"> </w:t>
      </w:r>
      <w:r w:rsidRPr="009E5053">
        <w:rPr>
          <w:rFonts w:ascii="Times New Roman" w:hAnsi="Times New Roman" w:cs="Times New Roman"/>
          <w:sz w:val="24"/>
          <w:szCs w:val="24"/>
        </w:rPr>
        <w:t xml:space="preserve">media. L’immobile non dispone di </w:t>
      </w:r>
      <w:proofErr w:type="gramStart"/>
      <w:r w:rsidRPr="009E5053">
        <w:rPr>
          <w:rFonts w:ascii="Times New Roman" w:hAnsi="Times New Roman" w:cs="Times New Roman"/>
          <w:sz w:val="24"/>
          <w:szCs w:val="24"/>
        </w:rPr>
        <w:t>un anditi</w:t>
      </w:r>
      <w:proofErr w:type="gramEnd"/>
      <w:r w:rsidRPr="009E5053">
        <w:rPr>
          <w:rFonts w:ascii="Times New Roman" w:hAnsi="Times New Roman" w:cs="Times New Roman"/>
          <w:sz w:val="24"/>
          <w:szCs w:val="24"/>
        </w:rPr>
        <w:t xml:space="preserve"> esterni comuni.</w:t>
      </w:r>
    </w:p>
    <w:p w14:paraId="1912F6C7"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0791FB86" w14:textId="7B9EF438"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DESCRIZIONE INTERNA </w:t>
      </w:r>
    </w:p>
    <w:p w14:paraId="0C374C21" w14:textId="77777777" w:rsidR="005B1DF5"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Il bene oggetto di stima si trova al piano interrato della P.ED. 2519 e non è</w:t>
      </w:r>
      <w:r>
        <w:rPr>
          <w:rFonts w:ascii="Times New Roman" w:hAnsi="Times New Roman" w:cs="Times New Roman"/>
          <w:sz w:val="24"/>
          <w:szCs w:val="24"/>
        </w:rPr>
        <w:t xml:space="preserve"> </w:t>
      </w:r>
      <w:r w:rsidRPr="009E5053">
        <w:rPr>
          <w:rFonts w:ascii="Times New Roman" w:hAnsi="Times New Roman" w:cs="Times New Roman"/>
          <w:sz w:val="24"/>
          <w:szCs w:val="24"/>
        </w:rPr>
        <w:t xml:space="preserve">raggiungibile da essa. </w:t>
      </w:r>
    </w:p>
    <w:p w14:paraId="2FEDA87D" w14:textId="77777777" w:rsidR="005B1DF5"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Al momento attuale si raggiunge solamente il garage della P.ED. 2589 o dal deposito della P.ED</w:t>
      </w:r>
      <w:r>
        <w:rPr>
          <w:rFonts w:ascii="Times New Roman" w:hAnsi="Times New Roman" w:cs="Times New Roman"/>
          <w:sz w:val="24"/>
          <w:szCs w:val="24"/>
        </w:rPr>
        <w:t>.</w:t>
      </w:r>
      <w:r w:rsidRPr="009E5053">
        <w:rPr>
          <w:rFonts w:ascii="Times New Roman" w:hAnsi="Times New Roman" w:cs="Times New Roman"/>
          <w:sz w:val="24"/>
          <w:szCs w:val="24"/>
        </w:rPr>
        <w:t xml:space="preserve"> 2617, immobili sui quali non sono iscritte servitù di passaggio a favore. </w:t>
      </w:r>
    </w:p>
    <w:p w14:paraId="52B4F2E4" w14:textId="40705159"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Al momento del sopralluogo troviamo un deposito di circa 83 mq, una rampa d’accesso e un tunnel d’accesso ai locali accessori presenti al piano interrato.</w:t>
      </w:r>
    </w:p>
    <w:p w14:paraId="095E3581" w14:textId="603331C0"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La composizione distributiva degli ambienti si chiarisce nei disegni seguenti che</w:t>
      </w:r>
      <w:r>
        <w:rPr>
          <w:rFonts w:ascii="Times New Roman" w:hAnsi="Times New Roman" w:cs="Times New Roman"/>
          <w:sz w:val="24"/>
          <w:szCs w:val="24"/>
        </w:rPr>
        <w:t xml:space="preserve"> </w:t>
      </w:r>
      <w:r w:rsidRPr="009E5053">
        <w:rPr>
          <w:rFonts w:ascii="Times New Roman" w:hAnsi="Times New Roman" w:cs="Times New Roman"/>
          <w:sz w:val="24"/>
          <w:szCs w:val="24"/>
        </w:rPr>
        <w:t xml:space="preserve">sono copia delle planimetrie </w:t>
      </w:r>
      <w:proofErr w:type="spellStart"/>
      <w:r w:rsidRPr="009E5053">
        <w:rPr>
          <w:rFonts w:ascii="Times New Roman" w:hAnsi="Times New Roman" w:cs="Times New Roman"/>
          <w:sz w:val="24"/>
          <w:szCs w:val="24"/>
        </w:rPr>
        <w:t>tavolari</w:t>
      </w:r>
      <w:proofErr w:type="spellEnd"/>
      <w:r w:rsidRPr="009E5053">
        <w:rPr>
          <w:rFonts w:ascii="Times New Roman" w:hAnsi="Times New Roman" w:cs="Times New Roman"/>
          <w:sz w:val="24"/>
          <w:szCs w:val="24"/>
        </w:rPr>
        <w:t xml:space="preserve"> presenti presso l’Ufficio Tavolare di Borgo Valsugana.</w:t>
      </w:r>
    </w:p>
    <w:p w14:paraId="7E3757B9"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Ai fini della stima l’immobile assume la seguente consistenza (SEL):</w:t>
      </w:r>
    </w:p>
    <w:p w14:paraId="2C2D5E71"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DEPOSITO = 95 mq commerciali.</w:t>
      </w:r>
    </w:p>
    <w:p w14:paraId="638CE48C"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Superficie utile netta (SUN):</w:t>
      </w:r>
    </w:p>
    <w:p w14:paraId="2F28C459"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PIANO TERRA = circa 83 mq.</w:t>
      </w:r>
    </w:p>
    <w:p w14:paraId="4A015CFA" w14:textId="4B657F21"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 xml:space="preserve">L’unità presenta solai in </w:t>
      </w:r>
      <w:proofErr w:type="spellStart"/>
      <w:r w:rsidRPr="009E5053">
        <w:rPr>
          <w:rFonts w:ascii="Times New Roman" w:hAnsi="Times New Roman" w:cs="Times New Roman"/>
          <w:sz w:val="24"/>
          <w:szCs w:val="24"/>
        </w:rPr>
        <w:t>predalles</w:t>
      </w:r>
      <w:proofErr w:type="spellEnd"/>
      <w:r w:rsidRPr="009E5053">
        <w:rPr>
          <w:rFonts w:ascii="Times New Roman" w:hAnsi="Times New Roman" w:cs="Times New Roman"/>
          <w:sz w:val="24"/>
          <w:szCs w:val="24"/>
        </w:rPr>
        <w:t>. Struttura portante in cemento armato. Copertura con solaio piano impermeabilizzato. Pavimentazione al grezzo Le pareti interne sono in calcestruzzo armato.</w:t>
      </w:r>
    </w:p>
    <w:p w14:paraId="364CF9EB" w14:textId="1FED5C5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Unità priva di serramenti interni ed esterni. Unità priva di servizio igienico.</w:t>
      </w:r>
      <w:r>
        <w:rPr>
          <w:rFonts w:ascii="Times New Roman" w:hAnsi="Times New Roman" w:cs="Times New Roman"/>
          <w:sz w:val="24"/>
          <w:szCs w:val="24"/>
        </w:rPr>
        <w:t xml:space="preserve"> </w:t>
      </w:r>
      <w:r w:rsidRPr="009E5053">
        <w:rPr>
          <w:rFonts w:ascii="Times New Roman" w:hAnsi="Times New Roman" w:cs="Times New Roman"/>
          <w:sz w:val="24"/>
          <w:szCs w:val="24"/>
        </w:rPr>
        <w:t>L’unità è priva di impianto di riscaldamento, di acqua calda e di impianto idrico sanitario. L’unità è priva di altra impiantistica.</w:t>
      </w:r>
      <w:r>
        <w:rPr>
          <w:rFonts w:ascii="Times New Roman" w:hAnsi="Times New Roman" w:cs="Times New Roman"/>
          <w:sz w:val="24"/>
          <w:szCs w:val="24"/>
        </w:rPr>
        <w:t xml:space="preserve"> </w:t>
      </w:r>
      <w:r w:rsidRPr="009E5053">
        <w:rPr>
          <w:rFonts w:ascii="Times New Roman" w:hAnsi="Times New Roman" w:cs="Times New Roman"/>
          <w:sz w:val="24"/>
          <w:szCs w:val="24"/>
        </w:rPr>
        <w:t>Locale utilizzabile quale deposito. Dalla ricerca non è stato reperito l’attestato di prestazione energetica.</w:t>
      </w:r>
    </w:p>
    <w:p w14:paraId="421C7CFE"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Nel complesso l’unità oggetto di stima ha uno stato di conservazione nella norma.</w:t>
      </w:r>
    </w:p>
    <w:p w14:paraId="2F34E358" w14:textId="77777777" w:rsidR="005B1DF5" w:rsidRDefault="005B1DF5" w:rsidP="005B1DF5">
      <w:pPr>
        <w:autoSpaceDE w:val="0"/>
        <w:autoSpaceDN w:val="0"/>
        <w:adjustRightInd w:val="0"/>
        <w:jc w:val="both"/>
        <w:rPr>
          <w:rFonts w:ascii="Times New Roman" w:hAnsi="Times New Roman" w:cs="Times New Roman"/>
          <w:sz w:val="24"/>
          <w:szCs w:val="24"/>
        </w:rPr>
      </w:pPr>
    </w:p>
    <w:p w14:paraId="01C4EABA" w14:textId="2DC6659C" w:rsidR="005B1DF5" w:rsidRPr="009E5053" w:rsidRDefault="005B1DF5" w:rsidP="005B1DF5">
      <w:pPr>
        <w:autoSpaceDE w:val="0"/>
        <w:autoSpaceDN w:val="0"/>
        <w:adjustRightInd w:val="0"/>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CONFORMITÀ URBANISTICA </w:t>
      </w:r>
    </w:p>
    <w:p w14:paraId="7A6D81B6" w14:textId="1B02805C"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Dal raffronto tra lo stato di fatto e le planimetrie catastali depositate presso l’Ufficio del Catasto ci sono delle difformità. Nello specifico non vengono rappresentate la rampa d’accesso e il tunnel</w:t>
      </w:r>
    </w:p>
    <w:p w14:paraId="56162066" w14:textId="77777777"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d’accesso. Costo per l’adeguamento catastale è pari ad € 750,00.</w:t>
      </w:r>
    </w:p>
    <w:p w14:paraId="703308B0" w14:textId="73AF070E"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 xml:space="preserve">Dal raffronto tra lo stato di fatto e le planimetrie </w:t>
      </w:r>
      <w:proofErr w:type="spellStart"/>
      <w:r w:rsidRPr="009E5053">
        <w:rPr>
          <w:rFonts w:ascii="Times New Roman" w:hAnsi="Times New Roman" w:cs="Times New Roman"/>
          <w:sz w:val="24"/>
          <w:szCs w:val="24"/>
        </w:rPr>
        <w:t>tavolari</w:t>
      </w:r>
      <w:proofErr w:type="spellEnd"/>
      <w:r w:rsidRPr="009E5053">
        <w:rPr>
          <w:rFonts w:ascii="Times New Roman" w:hAnsi="Times New Roman" w:cs="Times New Roman"/>
          <w:sz w:val="24"/>
          <w:szCs w:val="24"/>
        </w:rPr>
        <w:t xml:space="preserve"> depositate presso</w:t>
      </w:r>
      <w:r>
        <w:rPr>
          <w:rFonts w:ascii="Times New Roman" w:hAnsi="Times New Roman" w:cs="Times New Roman"/>
          <w:sz w:val="24"/>
          <w:szCs w:val="24"/>
        </w:rPr>
        <w:t xml:space="preserve"> </w:t>
      </w:r>
      <w:r w:rsidRPr="009E5053">
        <w:rPr>
          <w:rFonts w:ascii="Times New Roman" w:hAnsi="Times New Roman" w:cs="Times New Roman"/>
          <w:sz w:val="24"/>
          <w:szCs w:val="24"/>
        </w:rPr>
        <w:t xml:space="preserve">l’Ufficio del Catasto non ci sono difformità.  </w:t>
      </w:r>
    </w:p>
    <w:p w14:paraId="70E12A9E" w14:textId="77777777" w:rsidR="005B1DF5" w:rsidRPr="009E5053" w:rsidRDefault="005B1DF5" w:rsidP="005B1DF5">
      <w:pPr>
        <w:autoSpaceDE w:val="0"/>
        <w:autoSpaceDN w:val="0"/>
        <w:adjustRightInd w:val="0"/>
        <w:jc w:val="both"/>
        <w:rPr>
          <w:rFonts w:ascii="Times New Roman" w:hAnsi="Times New Roman" w:cs="Times New Roman"/>
          <w:sz w:val="24"/>
          <w:szCs w:val="24"/>
        </w:rPr>
      </w:pPr>
    </w:p>
    <w:p w14:paraId="00453213" w14:textId="77777777" w:rsidR="00157D22"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  </w:t>
      </w:r>
    </w:p>
    <w:p w14:paraId="70CDB4A1" w14:textId="572D4F39" w:rsidR="005B1DF5"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     </w:t>
      </w:r>
    </w:p>
    <w:p w14:paraId="092CD1C8" w14:textId="1CAE966E"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lastRenderedPageBreak/>
        <w:t xml:space="preserve">CONFORMITÀ CATASTALE </w:t>
      </w:r>
    </w:p>
    <w:p w14:paraId="0B719E2E" w14:textId="29A4F1FF"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Al valore dell’immobile (€ 23.750,00) sarà detratto un 5% dovuto a vizi occulti,</w:t>
      </w:r>
      <w:r>
        <w:rPr>
          <w:rFonts w:ascii="Times New Roman" w:hAnsi="Times New Roman" w:cs="Times New Roman"/>
          <w:sz w:val="24"/>
          <w:szCs w:val="24"/>
        </w:rPr>
        <w:t xml:space="preserve"> </w:t>
      </w:r>
      <w:r w:rsidRPr="009E5053">
        <w:rPr>
          <w:rFonts w:ascii="Times New Roman" w:hAnsi="Times New Roman" w:cs="Times New Roman"/>
          <w:sz w:val="24"/>
          <w:szCs w:val="24"/>
        </w:rPr>
        <w:t>pari ad € 1.187,50.</w:t>
      </w:r>
    </w:p>
    <w:p w14:paraId="17E85CC5" w14:textId="56357D1D" w:rsidR="005B1DF5" w:rsidRPr="009E5053"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Nella cifra sopra indicata è compreso lo sgombero di eventuali beni presenti</w:t>
      </w:r>
      <w:r>
        <w:rPr>
          <w:rFonts w:ascii="Times New Roman" w:hAnsi="Times New Roman" w:cs="Times New Roman"/>
          <w:sz w:val="24"/>
          <w:szCs w:val="24"/>
        </w:rPr>
        <w:t xml:space="preserve"> </w:t>
      </w:r>
      <w:r w:rsidRPr="009E5053">
        <w:rPr>
          <w:rFonts w:ascii="Times New Roman" w:hAnsi="Times New Roman" w:cs="Times New Roman"/>
          <w:sz w:val="24"/>
          <w:szCs w:val="24"/>
        </w:rPr>
        <w:t>all'interno.</w:t>
      </w:r>
    </w:p>
    <w:p w14:paraId="350913B8" w14:textId="72025605" w:rsidR="005B1DF5" w:rsidRPr="005B1DF5" w:rsidRDefault="005B1DF5" w:rsidP="005B1DF5">
      <w:pPr>
        <w:autoSpaceDE w:val="0"/>
        <w:autoSpaceDN w:val="0"/>
        <w:adjustRightInd w:val="0"/>
        <w:jc w:val="both"/>
        <w:rPr>
          <w:rFonts w:ascii="Times New Roman" w:hAnsi="Times New Roman" w:cs="Times New Roman"/>
          <w:sz w:val="24"/>
          <w:szCs w:val="24"/>
        </w:rPr>
      </w:pPr>
      <w:r w:rsidRPr="009E5053">
        <w:rPr>
          <w:rFonts w:ascii="Times New Roman" w:hAnsi="Times New Roman" w:cs="Times New Roman"/>
          <w:sz w:val="24"/>
          <w:szCs w:val="24"/>
        </w:rPr>
        <w:t xml:space="preserve">Tutto questo per </w:t>
      </w:r>
      <w:r w:rsidRPr="009E5053">
        <w:rPr>
          <w:rFonts w:ascii="Times New Roman" w:hAnsi="Times New Roman" w:cs="Times New Roman"/>
          <w:i/>
          <w:iCs/>
          <w:sz w:val="24"/>
          <w:szCs w:val="24"/>
        </w:rPr>
        <w:t xml:space="preserve">l’assenza della garanzia per vizi del bene venduto, </w:t>
      </w:r>
      <w:r w:rsidRPr="009E5053">
        <w:rPr>
          <w:rFonts w:ascii="Times New Roman" w:hAnsi="Times New Roman" w:cs="Times New Roman"/>
          <w:sz w:val="24"/>
          <w:szCs w:val="24"/>
        </w:rPr>
        <w:t>come dettato</w:t>
      </w:r>
      <w:r>
        <w:rPr>
          <w:rFonts w:ascii="Times New Roman" w:hAnsi="Times New Roman" w:cs="Times New Roman"/>
          <w:sz w:val="24"/>
          <w:szCs w:val="24"/>
        </w:rPr>
        <w:t xml:space="preserve"> </w:t>
      </w:r>
      <w:r w:rsidRPr="009E5053">
        <w:rPr>
          <w:rFonts w:ascii="Times New Roman" w:hAnsi="Times New Roman" w:cs="Times New Roman"/>
          <w:sz w:val="24"/>
          <w:szCs w:val="24"/>
        </w:rPr>
        <w:t>dall’art. 568 comma 2 del Codice di Procedura Civile.</w:t>
      </w:r>
      <w:r w:rsidRPr="009E5053">
        <w:rPr>
          <w:rFonts w:ascii="Times New Roman" w:hAnsi="Times New Roman" w:cs="Times New Roman"/>
          <w:b/>
          <w:bCs/>
          <w:sz w:val="24"/>
          <w:szCs w:val="24"/>
        </w:rPr>
        <w:t xml:space="preserve"> </w:t>
      </w:r>
    </w:p>
    <w:p w14:paraId="384643CC"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p>
    <w:p w14:paraId="7AA3CDA9"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r w:rsidRPr="009E5053">
        <w:rPr>
          <w:rFonts w:ascii="Times New Roman" w:hAnsi="Times New Roman" w:cs="Times New Roman"/>
          <w:b/>
          <w:bCs/>
          <w:sz w:val="24"/>
          <w:szCs w:val="24"/>
        </w:rPr>
        <w:t>Il più probabile valore di mercato specifico, alle condizioni attuali, della P.M. 5 della P.ED.</w:t>
      </w:r>
    </w:p>
    <w:p w14:paraId="7915C374"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r w:rsidRPr="009E5053">
        <w:rPr>
          <w:rFonts w:ascii="Times New Roman" w:hAnsi="Times New Roman" w:cs="Times New Roman"/>
          <w:b/>
          <w:bCs/>
          <w:sz w:val="24"/>
          <w:szCs w:val="24"/>
        </w:rPr>
        <w:t>2519 del Comune Catastale di Borgo Valsugana, sita in Via Sotto Samonte, che individua un</w:t>
      </w:r>
    </w:p>
    <w:p w14:paraId="52F82B1B"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r w:rsidRPr="009E5053">
        <w:rPr>
          <w:rFonts w:ascii="Times New Roman" w:hAnsi="Times New Roman" w:cs="Times New Roman"/>
          <w:b/>
          <w:bCs/>
          <w:sz w:val="24"/>
          <w:szCs w:val="24"/>
        </w:rPr>
        <w:t>deposito interrato inaccessibile della superficie utile di circa 83 mq, con rampa d’accesso e</w:t>
      </w:r>
    </w:p>
    <w:p w14:paraId="159A8F4A"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r w:rsidRPr="009E5053">
        <w:rPr>
          <w:rFonts w:ascii="Times New Roman" w:hAnsi="Times New Roman" w:cs="Times New Roman"/>
          <w:b/>
          <w:bCs/>
          <w:sz w:val="24"/>
          <w:szCs w:val="24"/>
        </w:rPr>
        <w:t>corsia d’accesso ad altre unità immobiliari, è valutato complessivamente in:</w:t>
      </w:r>
    </w:p>
    <w:p w14:paraId="6577D39C" w14:textId="77777777" w:rsidR="005B1DF5" w:rsidRPr="009E5053" w:rsidRDefault="005B1DF5" w:rsidP="005B1DF5">
      <w:pPr>
        <w:autoSpaceDE w:val="0"/>
        <w:autoSpaceDN w:val="0"/>
        <w:adjustRightInd w:val="0"/>
        <w:jc w:val="both"/>
        <w:rPr>
          <w:rFonts w:ascii="Times New Roman" w:hAnsi="Times New Roman" w:cs="Times New Roman"/>
          <w:b/>
          <w:bCs/>
          <w:sz w:val="24"/>
          <w:szCs w:val="24"/>
        </w:rPr>
      </w:pPr>
      <w:r w:rsidRPr="009E5053">
        <w:rPr>
          <w:rFonts w:ascii="Times New Roman" w:hAnsi="Times New Roman" w:cs="Times New Roman"/>
          <w:b/>
          <w:bCs/>
          <w:sz w:val="24"/>
          <w:szCs w:val="24"/>
        </w:rPr>
        <w:t>VALORE COMPLESSIVO A: € 22.000,00</w:t>
      </w:r>
    </w:p>
    <w:p w14:paraId="13D0DA9F" w14:textId="77777777" w:rsidR="005B1DF5" w:rsidRPr="009E5053" w:rsidRDefault="005B1DF5" w:rsidP="005B1DF5">
      <w:pPr>
        <w:widowControl w:val="0"/>
        <w:pBdr>
          <w:top w:val="nil"/>
          <w:left w:val="nil"/>
          <w:bottom w:val="nil"/>
          <w:right w:val="nil"/>
          <w:between w:val="nil"/>
        </w:pBdr>
        <w:ind w:right="754"/>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Disponibilità del bene</w:t>
      </w:r>
      <w:r w:rsidRPr="009E5053">
        <w:rPr>
          <w:rFonts w:ascii="Times New Roman" w:eastAsia="Times New Roman" w:hAnsi="Times New Roman" w:cs="Times New Roman"/>
          <w:color w:val="000000"/>
          <w:sz w:val="24"/>
          <w:szCs w:val="24"/>
        </w:rPr>
        <w:t>: Il bene risulta essere libero.</w:t>
      </w:r>
    </w:p>
    <w:p w14:paraId="7731B5D6" w14:textId="77777777" w:rsidR="005B1DF5" w:rsidRDefault="005B1DF5" w:rsidP="005B1DF5">
      <w:pPr>
        <w:widowControl w:val="0"/>
        <w:pBdr>
          <w:top w:val="nil"/>
          <w:left w:val="nil"/>
          <w:bottom w:val="nil"/>
          <w:right w:val="nil"/>
          <w:between w:val="nil"/>
        </w:pBdr>
        <w:ind w:left="482" w:right="754"/>
        <w:jc w:val="both"/>
        <w:rPr>
          <w:rFonts w:ascii="Times New Roman" w:eastAsia="Times New Roman" w:hAnsi="Times New Roman" w:cs="Times New Roman"/>
          <w:b/>
          <w:bCs/>
          <w:color w:val="000000"/>
          <w:sz w:val="24"/>
          <w:szCs w:val="24"/>
        </w:rPr>
      </w:pPr>
    </w:p>
    <w:p w14:paraId="6E4FE797" w14:textId="77777777" w:rsid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Prezzo base: Euro 22.000,00 </w:t>
      </w:r>
    </w:p>
    <w:p w14:paraId="4B745242" w14:textId="23E6F4F4" w:rsidR="005B1DF5" w:rsidRPr="005B1DF5" w:rsidRDefault="005B1DF5" w:rsidP="005B1DF5">
      <w:pPr>
        <w:widowControl w:val="0"/>
        <w:pBdr>
          <w:top w:val="nil"/>
          <w:left w:val="nil"/>
          <w:bottom w:val="nil"/>
          <w:right w:val="nil"/>
          <w:between w:val="nil"/>
        </w:pBdr>
        <w:ind w:left="482" w:right="754" w:hanging="482"/>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Cauzione: </w:t>
      </w:r>
      <w:r w:rsidRPr="009E5053">
        <w:rPr>
          <w:rFonts w:ascii="Times New Roman" w:eastAsia="Times New Roman" w:hAnsi="Times New Roman" w:cs="Times New Roman"/>
          <w:color w:val="000000"/>
          <w:sz w:val="24"/>
          <w:szCs w:val="24"/>
        </w:rPr>
        <w:t>pari al 10% del prezzo offerto</w:t>
      </w:r>
      <w:r w:rsidRPr="009E5053">
        <w:rPr>
          <w:rFonts w:ascii="Times New Roman" w:eastAsia="Times New Roman" w:hAnsi="Times New Roman" w:cs="Times New Roman"/>
          <w:b/>
          <w:bCs/>
          <w:color w:val="000000"/>
          <w:sz w:val="24"/>
          <w:szCs w:val="24"/>
        </w:rPr>
        <w:t xml:space="preserve">. </w:t>
      </w:r>
    </w:p>
    <w:p w14:paraId="48849DFF" w14:textId="77777777"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9E5053">
        <w:rPr>
          <w:rFonts w:ascii="Times New Roman" w:eastAsia="Times New Roman" w:hAnsi="Times New Roman" w:cs="Times New Roman"/>
          <w:b/>
          <w:bCs/>
          <w:color w:val="000000"/>
          <w:sz w:val="24"/>
          <w:szCs w:val="24"/>
        </w:rPr>
        <w:t xml:space="preserve">Diritti d’asta: </w:t>
      </w:r>
      <w:r w:rsidRPr="009E5053">
        <w:rPr>
          <w:rFonts w:ascii="Times New Roman" w:eastAsia="Times New Roman" w:hAnsi="Times New Roman" w:cs="Times New Roman"/>
          <w:color w:val="000000"/>
          <w:sz w:val="24"/>
          <w:szCs w:val="24"/>
        </w:rPr>
        <w:t xml:space="preserve">pari al 5% del prezzo offerto </w:t>
      </w:r>
    </w:p>
    <w:p w14:paraId="22AE0852" w14:textId="294A73A9" w:rsidR="005B1DF5" w:rsidRPr="009E5053" w:rsidRDefault="005B1DF5" w:rsidP="005B1DF5">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9E5053">
        <w:rPr>
          <w:rFonts w:ascii="Times New Roman" w:eastAsia="Times New Roman" w:hAnsi="Times New Roman" w:cs="Times New Roman"/>
          <w:b/>
          <w:bCs/>
          <w:color w:val="000000"/>
          <w:sz w:val="24"/>
          <w:szCs w:val="24"/>
        </w:rPr>
        <w:t xml:space="preserve">Rilancio minimo di gara: Euro </w:t>
      </w:r>
      <w:r w:rsidR="00157D22">
        <w:rPr>
          <w:rFonts w:ascii="Times New Roman" w:eastAsia="Times New Roman" w:hAnsi="Times New Roman" w:cs="Times New Roman"/>
          <w:b/>
          <w:bCs/>
          <w:color w:val="000000"/>
          <w:sz w:val="24"/>
          <w:szCs w:val="24"/>
        </w:rPr>
        <w:t>500</w:t>
      </w:r>
      <w:r w:rsidRPr="009E5053">
        <w:rPr>
          <w:rFonts w:ascii="Times New Roman" w:eastAsia="Times New Roman" w:hAnsi="Times New Roman" w:cs="Times New Roman"/>
          <w:b/>
          <w:bCs/>
          <w:color w:val="000000"/>
          <w:sz w:val="24"/>
          <w:szCs w:val="24"/>
        </w:rPr>
        <w:t xml:space="preserve">,00  </w:t>
      </w:r>
    </w:p>
    <w:p w14:paraId="7180FC87" w14:textId="77777777" w:rsidR="005B1DF5" w:rsidRDefault="005B1DF5" w:rsidP="00240ECC">
      <w:pPr>
        <w:widowControl w:val="0"/>
        <w:pBdr>
          <w:top w:val="nil"/>
          <w:left w:val="nil"/>
          <w:bottom w:val="nil"/>
          <w:right w:val="nil"/>
          <w:between w:val="nil"/>
        </w:pBdr>
        <w:jc w:val="both"/>
        <w:rPr>
          <w:rFonts w:ascii="Times New Roman" w:eastAsia="Times New Roman" w:hAnsi="Times New Roman" w:cs="Times New Roman"/>
          <w:b/>
          <w:bCs/>
          <w:color w:val="000000"/>
          <w:sz w:val="25"/>
          <w:szCs w:val="25"/>
        </w:rPr>
      </w:pPr>
    </w:p>
    <w:p w14:paraId="1BF67FDA" w14:textId="596B771F" w:rsidR="00240ECC" w:rsidRPr="00240ECC" w:rsidRDefault="00240ECC" w:rsidP="00240ECC">
      <w:pPr>
        <w:widowControl w:val="0"/>
        <w:pBdr>
          <w:top w:val="nil"/>
          <w:left w:val="nil"/>
          <w:bottom w:val="nil"/>
          <w:right w:val="nil"/>
          <w:between w:val="nil"/>
        </w:pBdr>
        <w:jc w:val="center"/>
        <w:rPr>
          <w:rFonts w:ascii="Times New Roman" w:eastAsia="Times New Roman" w:hAnsi="Times New Roman" w:cs="Times New Roman"/>
          <w:b/>
          <w:bCs/>
          <w:color w:val="000000"/>
          <w:sz w:val="25"/>
          <w:szCs w:val="25"/>
        </w:rPr>
      </w:pPr>
      <w:r>
        <w:rPr>
          <w:rFonts w:ascii="Times New Roman" w:eastAsia="Times New Roman" w:hAnsi="Times New Roman" w:cs="Times New Roman"/>
          <w:b/>
          <w:bCs/>
          <w:color w:val="000000"/>
          <w:sz w:val="24"/>
          <w:szCs w:val="24"/>
        </w:rPr>
        <w:t>DETERMINA</w:t>
      </w:r>
    </w:p>
    <w:p w14:paraId="5A938AA9"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seguito le modalità di svolgimento della procedura competitiva e le principali condizioni di vendita. </w:t>
      </w:r>
    </w:p>
    <w:p w14:paraId="37659EA1" w14:textId="77777777" w:rsidR="00240ECC" w:rsidRDefault="00240ECC" w:rsidP="00240ECC">
      <w:pPr>
        <w:widowControl w:val="0"/>
        <w:pBdr>
          <w:top w:val="nil"/>
          <w:left w:val="nil"/>
          <w:bottom w:val="nil"/>
          <w:right w:val="nil"/>
          <w:between w:val="nil"/>
        </w:pBdr>
        <w:spacing w:before="27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 Contenuto dell’offerta ed allegati </w:t>
      </w:r>
    </w:p>
    <w:p w14:paraId="508355C3" w14:textId="0187536D" w:rsidR="00240ECC" w:rsidRDefault="00240ECC" w:rsidP="00240ECC">
      <w:pPr>
        <w:widowControl w:val="0"/>
        <w:pBdr>
          <w:top w:val="nil"/>
          <w:left w:val="nil"/>
          <w:bottom w:val="nil"/>
          <w:right w:val="nil"/>
          <w:between w:val="nil"/>
        </w:pBdr>
        <w:ind w:right="2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partecipare alla procedura competitiva di vendita ciascun interessato dovrà depositare un’offerta di acquisto per il </w:t>
      </w:r>
      <w:r w:rsidR="004958F7">
        <w:rPr>
          <w:rFonts w:ascii="Times New Roman" w:eastAsia="Times New Roman" w:hAnsi="Times New Roman" w:cs="Times New Roman"/>
          <w:color w:val="000000"/>
          <w:sz w:val="24"/>
          <w:szCs w:val="24"/>
        </w:rPr>
        <w:t>Lotto</w:t>
      </w:r>
      <w:r>
        <w:rPr>
          <w:rFonts w:ascii="Times New Roman" w:eastAsia="Times New Roman" w:hAnsi="Times New Roman" w:cs="Times New Roman"/>
          <w:color w:val="000000"/>
          <w:sz w:val="24"/>
          <w:szCs w:val="24"/>
        </w:rPr>
        <w:t xml:space="preserve"> </w:t>
      </w:r>
      <w:r w:rsidR="004958F7">
        <w:rPr>
          <w:rFonts w:ascii="Times New Roman" w:eastAsia="Times New Roman" w:hAnsi="Times New Roman" w:cs="Times New Roman"/>
          <w:color w:val="000000"/>
          <w:sz w:val="24"/>
          <w:szCs w:val="24"/>
        </w:rPr>
        <w:t>IV</w:t>
      </w:r>
      <w:r>
        <w:rPr>
          <w:rFonts w:ascii="Times New Roman" w:eastAsia="Times New Roman" w:hAnsi="Times New Roman" w:cs="Times New Roman"/>
          <w:color w:val="000000"/>
          <w:sz w:val="24"/>
          <w:szCs w:val="24"/>
        </w:rPr>
        <w:t xml:space="preserve">, come meglio sopra individuato, che intende acquistare ad un prezzo non inferiore al prezzo base di vendita. </w:t>
      </w:r>
    </w:p>
    <w:p w14:paraId="7C3BEFC2"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si svolgerà nella modalità sincrona mista così come definita dall’art. 2 del DM 32/2015 che prevede che i rilanci possono essere formulati sia in modalità cartacea che in modalità telematica. L’offerta di acquisto può essere presentata: </w:t>
      </w:r>
    </w:p>
    <w:p w14:paraId="4706039F"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telematica, previo accesso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selezione del bene di interesse e, tramite il comando “Iscriviti alla vendita”, compilazione del modulo ministeriale di “presentazione offerta. Il “Manuale utente per la presentazione dell’Offerta Telematica” indicante tutti i passaggi necessari per completare la procedura di presentazione dell’offerta in modalità telematica è disponibile nel sito ufficiale del Ministero al seguente indirizzo: https://pst.giustizia.it/PST/resources/cms/documents/ManualeUtenteOfferta06_08_2021.pdf; oppure </w:t>
      </w:r>
    </w:p>
    <w:p w14:paraId="103390A7" w14:textId="50361D11" w:rsidR="00240ECC" w:rsidRP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cartacea, come meglio descritto al punto 2 del presente avviso, presso </w:t>
      </w:r>
      <w:r>
        <w:rPr>
          <w:rFonts w:ascii="Times New Roman" w:eastAsia="Times New Roman" w:hAnsi="Times New Roman" w:cs="Times New Roman"/>
          <w:b/>
          <w:bCs/>
          <w:color w:val="000000"/>
          <w:sz w:val="24"/>
          <w:szCs w:val="24"/>
        </w:rPr>
        <w:t xml:space="preserve">IVGT S.r.l., in Trento, Via Fersina 12/A. </w:t>
      </w:r>
    </w:p>
    <w:p w14:paraId="25412040" w14:textId="77777777" w:rsidR="00240ECC" w:rsidRDefault="00240ECC" w:rsidP="00240ECC">
      <w:pPr>
        <w:widowControl w:val="0"/>
        <w:pBdr>
          <w:top w:val="nil"/>
          <w:left w:val="nil"/>
          <w:bottom w:val="nil"/>
          <w:right w:val="nil"/>
          <w:between w:val="nil"/>
        </w:pBdr>
        <w:spacing w:before="282"/>
        <w:ind w:right="24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offerenti telematici, ovvero che hanno formulato l’offerta con modalità telematiche, partecipano alle operazioni di vendita mediante la connessione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Tra 120 e 180 minuti prima della gara le offerte verranno trasmesse al gestore della vendita. Gli ammessi alla gara riceveranno, 30 minuti prima dell’inizio delle operazioni di vendita, all’indirizzo PEC indicato nel modulo ministeriale di offerta, le credenziali per accedere alla vendita in oggetto. Un ulteriore </w:t>
      </w:r>
      <w:r>
        <w:rPr>
          <w:rFonts w:ascii="Times New Roman" w:eastAsia="Times New Roman" w:hAnsi="Times New Roman" w:cs="Times New Roman"/>
          <w:color w:val="000000"/>
          <w:sz w:val="24"/>
          <w:szCs w:val="24"/>
        </w:rPr>
        <w:lastRenderedPageBreak/>
        <w:t xml:space="preserve">invito a connettersi per partecipare alle operazioni di vendita verrà trasmesso a mezzo SMS al recapito di telefonia mobile fornito nell’offerta.  </w:t>
      </w:r>
    </w:p>
    <w:p w14:paraId="4E7EF8F6" w14:textId="77777777" w:rsidR="00240ECC" w:rsidRDefault="00240ECC" w:rsidP="00240ECC">
      <w:pPr>
        <w:widowControl w:val="0"/>
        <w:pBdr>
          <w:top w:val="nil"/>
          <w:left w:val="nil"/>
          <w:bottom w:val="nil"/>
          <w:right w:val="nil"/>
          <w:between w:val="nil"/>
        </w:pBdr>
        <w:spacing w:before="6"/>
        <w:ind w:right="24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assistenza in merito alla presentazione delle offerte in modalità telematica si potrà contattare il numero 0444 346211 o scrivere all’indirizzo </w:t>
      </w:r>
      <w:r>
        <w:rPr>
          <w:rFonts w:ascii="Times New Roman" w:eastAsia="Times New Roman" w:hAnsi="Times New Roman" w:cs="Times New Roman"/>
          <w:color w:val="0563C1"/>
          <w:sz w:val="24"/>
          <w:szCs w:val="24"/>
          <w:u w:val="single"/>
        </w:rPr>
        <w:t>help@fallco.it.</w:t>
      </w:r>
    </w:p>
    <w:p w14:paraId="7821DAAB" w14:textId="77777777" w:rsidR="00240ECC" w:rsidRDefault="00240ECC" w:rsidP="00240ECC">
      <w:pPr>
        <w:widowControl w:val="0"/>
        <w:pBdr>
          <w:top w:val="nil"/>
          <w:left w:val="nil"/>
          <w:bottom w:val="nil"/>
          <w:right w:val="nil"/>
          <w:between w:val="nil"/>
        </w:pBdr>
        <w:ind w:right="2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Il Commissionario potrà inviare messaggi a tutti i partecipanti, ovvero solo ad alcuni di questi, per avvisarli circa la tempistica di inizio della gara o per altre comunicazioni. I messaggi saranno visualizzati dai partecipanti nella pagina della vendita</w:t>
      </w:r>
      <w:r>
        <w:rPr>
          <w:rFonts w:ascii="Times New Roman" w:eastAsia="Times New Roman" w:hAnsi="Times New Roman" w:cs="Times New Roman"/>
          <w:i/>
          <w:iCs/>
          <w:color w:val="000000"/>
          <w:sz w:val="24"/>
          <w:szCs w:val="24"/>
        </w:rPr>
        <w:t xml:space="preserve">. </w:t>
      </w:r>
    </w:p>
    <w:p w14:paraId="45CEC224" w14:textId="77777777" w:rsidR="00240ECC" w:rsidRDefault="00240ECC" w:rsidP="00240ECC">
      <w:pPr>
        <w:widowControl w:val="0"/>
        <w:pBdr>
          <w:top w:val="nil"/>
          <w:left w:val="nil"/>
          <w:bottom w:val="nil"/>
          <w:right w:val="nil"/>
          <w:between w:val="nil"/>
        </w:pBdr>
        <w:spacing w:before="5"/>
        <w:ind w:right="24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avrà inizio al termine delle operazioni per l’esame delle offerte, salvo eventuali modifiche che verranno tempestivamente comunicate dal Commissionario al termine dell’apertura delle buste a tutti gli offerenti ammessi alla gara. </w:t>
      </w:r>
    </w:p>
    <w:p w14:paraId="5892EAF2" w14:textId="77777777" w:rsidR="00240ECC" w:rsidRDefault="00240ECC" w:rsidP="00240ECC">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potrà contenere anche l’eventuale riserva di nomina di un terzo (artt. 571, 579 e 583 c.p.c.).  </w:t>
      </w:r>
    </w:p>
    <w:p w14:paraId="17D965DF" w14:textId="77777777" w:rsidR="00575CBE"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dichiarazione di nomina dovrà redigersi in forma di scrittura privata autenticata e, oltre che dall’offerente, dovrà essere sottoscritta anche dal terzo per accettazione della nomina stessa, sia delle condizioni di vendita di cui infra. La riserva dovrà essere sciolta e fatta pervenire al Professionista Delegato non oltre i tre giorni successivi all’aggiudicazione. Le previsioni relative al contenuto e agli allegati dell’offerta sono stabilite a pena d’invalidità della stessa e di esclusione dell’offerente dal successivo svolgimento della procedura competitiva. </w:t>
      </w:r>
    </w:p>
    <w:p w14:paraId="67DABCFA" w14:textId="77777777" w:rsid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2D7D8647" w14:textId="0A25D14A" w:rsidR="00575CBE" w:rsidRP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 Termine e modalità di deposito dell’offerta e della cauzione </w:t>
      </w:r>
    </w:p>
    <w:p w14:paraId="43950F76" w14:textId="77777777" w:rsidR="00575CBE" w:rsidRDefault="00575CBE" w:rsidP="00575CBE">
      <w:pPr>
        <w:widowControl w:val="0"/>
        <w:pBdr>
          <w:top w:val="nil"/>
          <w:left w:val="nil"/>
          <w:bottom w:val="nil"/>
          <w:right w:val="nil"/>
          <w:between w:val="nil"/>
        </w:pBdr>
        <w:ind w:right="297"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versare anticipatamente, a titolo di cauzione, una somma pari almeno al </w:t>
      </w:r>
      <w:r>
        <w:rPr>
          <w:rFonts w:ascii="Times New Roman" w:eastAsia="Times New Roman" w:hAnsi="Times New Roman" w:cs="Times New Roman"/>
          <w:b/>
          <w:bCs/>
          <w:color w:val="000000"/>
          <w:sz w:val="24"/>
          <w:szCs w:val="24"/>
        </w:rPr>
        <w:t xml:space="preserve">dieci per cento (10%) del prezzo offerto, </w:t>
      </w:r>
      <w:r>
        <w:rPr>
          <w:rFonts w:ascii="Times New Roman" w:eastAsia="Times New Roman" w:hAnsi="Times New Roman" w:cs="Times New Roman"/>
          <w:color w:val="000000"/>
          <w:sz w:val="24"/>
          <w:szCs w:val="24"/>
        </w:rPr>
        <w:t xml:space="preserve">tramite: </w:t>
      </w:r>
    </w:p>
    <w:p w14:paraId="7474F90D" w14:textId="7777777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telematico: bonifico bancario sul conto corrente </w:t>
      </w:r>
      <w:r>
        <w:rPr>
          <w:rFonts w:ascii="Times New Roman" w:eastAsia="Times New Roman" w:hAnsi="Times New Roman" w:cs="Times New Roman"/>
          <w:b/>
          <w:bCs/>
          <w:color w:val="000000"/>
          <w:sz w:val="24"/>
          <w:szCs w:val="24"/>
        </w:rPr>
        <w:t>IT 59 Y 03268 60160 052147600000</w:t>
      </w:r>
    </w:p>
    <w:p w14:paraId="487EE826" w14:textId="587AA76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BANCA SELLA </w:t>
      </w:r>
    </w:p>
    <w:p w14:paraId="479CE22E"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cartaceo: tramite assegno circolare intestato </w:t>
      </w:r>
      <w:r>
        <w:rPr>
          <w:rFonts w:ascii="Times New Roman" w:eastAsia="Times New Roman" w:hAnsi="Times New Roman" w:cs="Times New Roman"/>
          <w:b/>
          <w:bCs/>
          <w:color w:val="000000"/>
          <w:sz w:val="24"/>
          <w:szCs w:val="24"/>
        </w:rPr>
        <w:t xml:space="preserve">IVGT SRL </w:t>
      </w:r>
    </w:p>
    <w:p w14:paraId="38C95D9C"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Ulteriore bonifico bancario del 5% </w:t>
      </w:r>
      <w:r>
        <w:rPr>
          <w:rFonts w:ascii="Times New Roman" w:eastAsia="Times New Roman" w:hAnsi="Times New Roman" w:cs="Times New Roman"/>
          <w:color w:val="000000"/>
          <w:sz w:val="24"/>
          <w:szCs w:val="24"/>
        </w:rPr>
        <w:t xml:space="preserve">sul prezzo offerto per </w:t>
      </w:r>
      <w:r>
        <w:rPr>
          <w:rFonts w:ascii="Times New Roman" w:eastAsia="Times New Roman" w:hAnsi="Times New Roman" w:cs="Times New Roman"/>
          <w:b/>
          <w:bCs/>
          <w:color w:val="000000"/>
          <w:sz w:val="24"/>
          <w:szCs w:val="24"/>
        </w:rPr>
        <w:t xml:space="preserve">diritti d’asta sul conto corrente sopra indicato. </w:t>
      </w:r>
    </w:p>
    <w:p w14:paraId="7807E88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p>
    <w:p w14:paraId="6E6A0D28" w14:textId="2018F1FB"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Tale importo sarà trattenuto in caso di decadenza dell’aggiudicatario ex art. 587 c.p.c.  </w:t>
      </w:r>
      <w:r>
        <w:rPr>
          <w:rFonts w:ascii="Times New Roman" w:eastAsia="Times New Roman" w:hAnsi="Times New Roman" w:cs="Times New Roman"/>
          <w:b/>
          <w:bCs/>
          <w:color w:val="000000"/>
          <w:sz w:val="24"/>
          <w:szCs w:val="24"/>
        </w:rPr>
        <w:t xml:space="preserve">Il deposito dell’offerta dovrà avvenire entro il giorno 11 DICEMBRE 2026 alle ore 12.00. </w:t>
      </w:r>
    </w:p>
    <w:p w14:paraId="7587B0FD" w14:textId="0E78E165" w:rsidR="00575CBE" w:rsidRDefault="00575CBE" w:rsidP="00575CBE">
      <w:pPr>
        <w:widowControl w:val="0"/>
        <w:pBdr>
          <w:top w:val="nil"/>
          <w:left w:val="nil"/>
          <w:bottom w:val="nil"/>
          <w:right w:val="nil"/>
          <w:between w:val="nil"/>
        </w:pBdr>
        <w:spacing w:before="282"/>
        <w:ind w:right="297" w:firstLine="1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Il bonifico, con causale “</w:t>
      </w:r>
      <w:r>
        <w:rPr>
          <w:rFonts w:ascii="Times New Roman" w:eastAsia="Times New Roman" w:hAnsi="Times New Roman" w:cs="Times New Roman"/>
          <w:b/>
          <w:bCs/>
          <w:i/>
          <w:iCs/>
          <w:color w:val="000000"/>
          <w:sz w:val="24"/>
          <w:szCs w:val="24"/>
        </w:rPr>
        <w:t xml:space="preserve">Liq.Giud. 31/2025 - lotto </w:t>
      </w:r>
      <w:r w:rsidR="00B61599">
        <w:rPr>
          <w:rFonts w:ascii="Times New Roman" w:eastAsia="Times New Roman" w:hAnsi="Times New Roman" w:cs="Times New Roman"/>
          <w:b/>
          <w:bCs/>
          <w:i/>
          <w:iCs/>
          <w:color w:val="000000"/>
          <w:sz w:val="24"/>
          <w:szCs w:val="24"/>
        </w:rPr>
        <w:t>4</w:t>
      </w:r>
      <w:r>
        <w:rPr>
          <w:rFonts w:ascii="Times New Roman" w:eastAsia="Times New Roman" w:hAnsi="Times New Roman" w:cs="Times New Roman"/>
          <w:b/>
          <w:bCs/>
          <w:i/>
          <w:iCs/>
          <w:color w:val="000000"/>
          <w:sz w:val="24"/>
          <w:szCs w:val="24"/>
        </w:rPr>
        <w:t xml:space="preserve"> – Versamento cauzione” </w:t>
      </w:r>
      <w:r>
        <w:rPr>
          <w:rFonts w:ascii="Times New Roman" w:eastAsia="Times New Roman" w:hAnsi="Times New Roman" w:cs="Times New Roman"/>
          <w:color w:val="000000"/>
          <w:sz w:val="24"/>
          <w:szCs w:val="24"/>
        </w:rPr>
        <w:t>ed “</w:t>
      </w:r>
      <w:r>
        <w:rPr>
          <w:rFonts w:ascii="Times New Roman" w:eastAsia="Times New Roman" w:hAnsi="Times New Roman" w:cs="Times New Roman"/>
          <w:b/>
          <w:bCs/>
          <w:i/>
          <w:iCs/>
          <w:color w:val="000000"/>
          <w:sz w:val="24"/>
          <w:szCs w:val="24"/>
        </w:rPr>
        <w:t>Liq.Giud.  31/2025– diritti d’asta”</w:t>
      </w:r>
      <w:r>
        <w:rPr>
          <w:rFonts w:ascii="Times New Roman" w:eastAsia="Times New Roman" w:hAnsi="Times New Roman" w:cs="Times New Roman"/>
          <w:b/>
          <w:bCs/>
          <w:color w:val="000000"/>
          <w:sz w:val="24"/>
          <w:szCs w:val="24"/>
        </w:rPr>
        <w:t xml:space="preserve">, dovranno essere effettuati in modo tale che l’accredito delle somme abbia luogo entro il giorno precedente l’udienza di vendita. </w:t>
      </w:r>
    </w:p>
    <w:p w14:paraId="719DC4AE" w14:textId="77777777" w:rsidR="00575CBE" w:rsidRDefault="00575CBE" w:rsidP="00575CBE">
      <w:pPr>
        <w:widowControl w:val="0"/>
        <w:pBdr>
          <w:top w:val="nil"/>
          <w:left w:val="nil"/>
          <w:bottom w:val="nil"/>
          <w:right w:val="nil"/>
          <w:between w:val="nil"/>
        </w:pBdr>
        <w:spacing w:before="5"/>
        <w:ind w:right="302"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Qualora il giorno fissato per l’udienza di vendita non venga riscontrato l’accredito delle somme sul conto corrente indicato per il versamento delle cauzioni e dei diritti d’asta, l’offerta sarà considerata inammissibile. </w:t>
      </w:r>
    </w:p>
    <w:p w14:paraId="4C8F4145" w14:textId="77777777" w:rsidR="00575CBE" w:rsidRDefault="00575CBE"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telematico deve procedere al pagamento del bollo dovuto per legge (attualmente pari ad € 16,00) in modalità telematica, salvo che sia esentato ai sensi del DPR 447/2000. Il bollo può essere pagato sul portale dei servizi telematici all'indirizzo </w:t>
      </w:r>
      <w:r>
        <w:rPr>
          <w:rFonts w:ascii="Times New Roman" w:eastAsia="Times New Roman" w:hAnsi="Times New Roman" w:cs="Times New Roman"/>
          <w:b/>
          <w:bCs/>
          <w:color w:val="000000"/>
          <w:sz w:val="24"/>
          <w:szCs w:val="24"/>
        </w:rPr>
        <w:t>http://pst.giustizia.it, tramite il servizio “pagamento di bolli digitali", tramite carta di credito o bonifico bancario</w:t>
      </w:r>
      <w:r>
        <w:rPr>
          <w:rFonts w:ascii="Times New Roman" w:eastAsia="Times New Roman" w:hAnsi="Times New Roman" w:cs="Times New Roman"/>
          <w:color w:val="000000"/>
          <w:sz w:val="24"/>
          <w:szCs w:val="24"/>
        </w:rPr>
        <w:t xml:space="preserve">, seguendo le istruzioni indicate nel “manuale utente per la presentazione dell’offerta telematica” reperibile sul sito internet pst.giustizia.it. </w:t>
      </w:r>
    </w:p>
    <w:p w14:paraId="2EC7C9DC" w14:textId="77777777" w:rsidR="00575CBE" w:rsidRDefault="00575CBE" w:rsidP="00575CBE">
      <w:pPr>
        <w:widowControl w:val="0"/>
        <w:pBdr>
          <w:top w:val="nil"/>
          <w:left w:val="nil"/>
          <w:bottom w:val="nil"/>
          <w:right w:val="nil"/>
          <w:between w:val="nil"/>
        </w:pBdr>
        <w:spacing w:before="282"/>
        <w:ind w:right="298"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L’offerente cartaceo deve procedere al pagamento del bollo dovuto per legge (attualmente pari ad € 16,00) applicando la marca da bollo all’offerta presentata, salvo che sia esentato ai sensi del DPR  447/2000. </w:t>
      </w:r>
    </w:p>
    <w:p w14:paraId="4197D5F0" w14:textId="77777777" w:rsidR="00575CBE" w:rsidRDefault="00575CBE" w:rsidP="00575CBE">
      <w:pPr>
        <w:widowControl w:val="0"/>
        <w:pBdr>
          <w:top w:val="nil"/>
          <w:left w:val="nil"/>
          <w:bottom w:val="nil"/>
          <w:right w:val="nil"/>
          <w:between w:val="nil"/>
        </w:pBdr>
        <w:spacing w:before="6"/>
        <w:ind w:right="3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mancata aggiudicazione e all’esito dell’avvio della gara in caso di plurimi offerenti, l’importo versato a titolo di cauzione (al netto degli eventuali oneri bancari) sarà restituito ai soggetti offerenti non aggiudicatari. </w:t>
      </w:r>
    </w:p>
    <w:p w14:paraId="78F729EE" w14:textId="77777777" w:rsidR="00575CBE" w:rsidRDefault="00575CBE" w:rsidP="00575CBE">
      <w:pPr>
        <w:widowControl w:val="0"/>
        <w:pBdr>
          <w:top w:val="nil"/>
          <w:left w:val="nil"/>
          <w:bottom w:val="nil"/>
          <w:right w:val="nil"/>
          <w:between w:val="nil"/>
        </w:pBdr>
        <w:spacing w:before="281"/>
        <w:ind w:right="30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l’offerente telematico, la restituzione avrà luogo esclusivamente mediante bonifico sul conto corrente indicato nel modulo di offerta.</w:t>
      </w:r>
    </w:p>
    <w:p w14:paraId="3D10962F" w14:textId="77777777" w:rsidR="00575CBE" w:rsidRDefault="00575CBE" w:rsidP="00575CBE">
      <w:pPr>
        <w:widowControl w:val="0"/>
        <w:pBdr>
          <w:top w:val="nil"/>
          <w:left w:val="nil"/>
          <w:bottom w:val="nil"/>
          <w:right w:val="nil"/>
          <w:between w:val="nil"/>
        </w:pBdr>
        <w:ind w:right="30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è irrevocabile ai sensi dell’art. 571 comma 3 c.p.c., che si richiama al fine della validità e dell’efficacia della medesima. </w:t>
      </w:r>
    </w:p>
    <w:p w14:paraId="405E5354" w14:textId="77777777" w:rsidR="00575CBE" w:rsidRDefault="00575CBE" w:rsidP="00575CBE">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All’offerta, sia cartacea che telematica, dovranno essere allegati: </w:t>
      </w:r>
    </w:p>
    <w:p w14:paraId="7DAF9793" w14:textId="77777777" w:rsidR="00575CBE" w:rsidRDefault="00575CBE" w:rsidP="00575CBE">
      <w:pPr>
        <w:widowControl w:val="0"/>
        <w:pBdr>
          <w:top w:val="nil"/>
          <w:left w:val="nil"/>
          <w:bottom w:val="nil"/>
          <w:right w:val="nil"/>
          <w:between w:val="nil"/>
        </w:pBdr>
        <w:ind w:right="18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copia del documento d’identità e copia del codice fiscale del soggetto offerente; - l’importo offerto per l’acquisto del bene; </w:t>
      </w:r>
    </w:p>
    <w:p w14:paraId="5456EF57" w14:textId="77777777" w:rsidR="00575CBE" w:rsidRDefault="00575CBE" w:rsidP="00575CBE">
      <w:pPr>
        <w:widowControl w:val="0"/>
        <w:pBdr>
          <w:top w:val="nil"/>
          <w:left w:val="nil"/>
          <w:bottom w:val="nil"/>
          <w:right w:val="nil"/>
          <w:between w:val="nil"/>
        </w:pBdr>
        <w:spacing w:before="6"/>
        <w:ind w:right="299"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documentazione, attestante il versamento (segnatamente, </w:t>
      </w:r>
      <w:r>
        <w:rPr>
          <w:rFonts w:ascii="Times New Roman" w:eastAsia="Times New Roman" w:hAnsi="Times New Roman" w:cs="Times New Roman"/>
          <w:color w:val="000000"/>
          <w:sz w:val="24"/>
          <w:szCs w:val="24"/>
          <w:u w:val="single"/>
        </w:rPr>
        <w:t xml:space="preserve">copia della contabile di avvenuto </w:t>
      </w:r>
      <w:r>
        <w:rPr>
          <w:rFonts w:ascii="Times New Roman" w:eastAsia="Times New Roman" w:hAnsi="Times New Roman" w:cs="Times New Roman"/>
          <w:color w:val="000000"/>
          <w:sz w:val="24"/>
          <w:szCs w:val="24"/>
        </w:rPr>
        <w:t>pagamento</w:t>
      </w:r>
      <w:r>
        <w:rPr>
          <w:rFonts w:ascii="Times New Roman" w:eastAsia="Times New Roman" w:hAnsi="Times New Roman" w:cs="Times New Roman"/>
          <w:color w:val="000000"/>
          <w:sz w:val="24"/>
          <w:szCs w:val="24"/>
          <w:u w:val="single"/>
        </w:rPr>
        <w:t xml:space="preserve"> oppure assegno circolare</w:t>
      </w:r>
      <w:r>
        <w:rPr>
          <w:rFonts w:ascii="Times New Roman" w:eastAsia="Times New Roman" w:hAnsi="Times New Roman" w:cs="Times New Roman"/>
          <w:color w:val="000000"/>
          <w:sz w:val="24"/>
          <w:szCs w:val="24"/>
        </w:rPr>
        <w:t xml:space="preserve">): </w:t>
      </w:r>
    </w:p>
    <w:p w14:paraId="2628D012" w14:textId="77777777" w:rsidR="00575CBE" w:rsidRDefault="00575CBE" w:rsidP="00575CBE">
      <w:pPr>
        <w:widowControl w:val="0"/>
        <w:pBdr>
          <w:top w:val="nil"/>
          <w:left w:val="nil"/>
          <w:bottom w:val="nil"/>
          <w:right w:val="nil"/>
          <w:between w:val="nil"/>
        </w:pBdr>
        <w:spacing w:before="6"/>
        <w:ind w:right="29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richiesta di agevolazioni fiscali (c.d. “prima casa” e/o “prezzo valore”), salva la facoltà di depositarla successivamente all’aggiudicazione ma </w:t>
      </w:r>
      <w:r>
        <w:rPr>
          <w:rFonts w:ascii="Times New Roman" w:eastAsia="Times New Roman" w:hAnsi="Times New Roman" w:cs="Times New Roman"/>
          <w:color w:val="000000"/>
          <w:sz w:val="24"/>
          <w:szCs w:val="24"/>
          <w:u w:val="single"/>
        </w:rPr>
        <w:t>prima</w:t>
      </w:r>
      <w:r>
        <w:rPr>
          <w:rFonts w:ascii="Times New Roman" w:eastAsia="Times New Roman" w:hAnsi="Times New Roman" w:cs="Times New Roman"/>
          <w:color w:val="000000"/>
          <w:sz w:val="24"/>
          <w:szCs w:val="24"/>
        </w:rPr>
        <w:t xml:space="preserve"> del versamento del saldo prezzo (unitamente al quale dovranno essere depositate le spese a carico dell’aggiudicatario </w:t>
      </w:r>
      <w:r>
        <w:rPr>
          <w:rFonts w:ascii="Times New Roman" w:eastAsia="Times New Roman" w:hAnsi="Times New Roman" w:cs="Times New Roman"/>
          <w:i/>
          <w:iCs/>
          <w:color w:val="000000"/>
          <w:sz w:val="24"/>
          <w:szCs w:val="24"/>
        </w:rPr>
        <w:t xml:space="preserve">ex </w:t>
      </w:r>
      <w:r>
        <w:rPr>
          <w:rFonts w:ascii="Times New Roman" w:eastAsia="Times New Roman" w:hAnsi="Times New Roman" w:cs="Times New Roman"/>
          <w:color w:val="000000"/>
          <w:sz w:val="24"/>
          <w:szCs w:val="24"/>
        </w:rPr>
        <w:t xml:space="preserve">art.2, comma settimo del D.M. 227/2015); </w:t>
      </w:r>
    </w:p>
    <w:p w14:paraId="06C318DC" w14:textId="77777777" w:rsidR="00575CBE" w:rsidRDefault="00575CBE" w:rsidP="00575CBE">
      <w:pPr>
        <w:widowControl w:val="0"/>
        <w:pBdr>
          <w:top w:val="nil"/>
          <w:left w:val="nil"/>
          <w:bottom w:val="nil"/>
          <w:right w:val="nil"/>
          <w:between w:val="nil"/>
        </w:pBdr>
        <w:spacing w:before="6"/>
        <w:ind w:right="29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coniugato, in regime di comunione legale dei beni, copia del documento d’identità e copia del codice fiscale del coniuge (salva la facoltà del deposito successivo all’esito dell’aggiudicazione e del versamento del prezzo); </w:t>
      </w:r>
    </w:p>
    <w:p w14:paraId="059D6CFE" w14:textId="77777777" w:rsidR="00575CBE" w:rsidRDefault="00575CBE" w:rsidP="00575CBE">
      <w:pPr>
        <w:widowControl w:val="0"/>
        <w:pBdr>
          <w:top w:val="nil"/>
          <w:left w:val="nil"/>
          <w:bottom w:val="nil"/>
          <w:right w:val="nil"/>
          <w:between w:val="nil"/>
        </w:pBdr>
        <w:spacing w:before="6"/>
        <w:ind w:right="30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minorenne, copia del documento d’identità e copia del codice fiscale del soggetto offerente e del soggetto che sottoscrive l’offerta, nonché copia del provvedimento di autorizzazione; </w:t>
      </w:r>
    </w:p>
    <w:p w14:paraId="036B012D" w14:textId="77777777" w:rsidR="00575CBE" w:rsidRDefault="00575CBE" w:rsidP="00575CBE">
      <w:pPr>
        <w:widowControl w:val="0"/>
        <w:pBdr>
          <w:top w:val="nil"/>
          <w:left w:val="nil"/>
          <w:bottom w:val="nil"/>
          <w:right w:val="nil"/>
          <w:between w:val="nil"/>
        </w:pBdr>
        <w:spacing w:before="6"/>
        <w:ind w:right="29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 </w:t>
      </w:r>
    </w:p>
    <w:p w14:paraId="3B18D7F7"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una società o persona giuridica, copia del documento (ad esempio, certificato del registro delle imprese) da cui risultino i poteri ovvero la procura o l’atto di nomina che giustifichi i poteri; </w:t>
      </w:r>
    </w:p>
    <w:p w14:paraId="4321F68C"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p>
    <w:p w14:paraId="08FC2E35" w14:textId="77777777" w:rsidR="00575CBE" w:rsidRDefault="00575CBE" w:rsidP="00575CBE">
      <w:pPr>
        <w:widowControl w:val="0"/>
        <w:pBdr>
          <w:top w:val="nil"/>
          <w:left w:val="nil"/>
          <w:bottom w:val="nil"/>
          <w:right w:val="nil"/>
          <w:between w:val="nil"/>
        </w:pBdr>
        <w:spacing w:before="6"/>
        <w:ind w:right="2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l’offerta è formulata da più persone, copia anche per immagine della procura rilasciata dagli altri offerenti per atto pubblico o scrittura privata autenticata in favore del: </w:t>
      </w:r>
    </w:p>
    <w:p w14:paraId="4D85567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presentatore;  </w:t>
      </w:r>
    </w:p>
    <w:p w14:paraId="0F52B0FB" w14:textId="77777777" w:rsidR="00575CBE" w:rsidRDefault="00575CBE" w:rsidP="00575CBE">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soggetto che sottoscrive l’offerta per la modalità cartacea. </w:t>
      </w:r>
    </w:p>
    <w:p w14:paraId="59EFAB10" w14:textId="069ED713"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altresì dichiarare l’eventuale volontà di avvalersi della procedura di mutuo in caso di aggiudicazione definitiva come previsto dall’art. 585 c.p.c. (e meglio sotto precisato). </w:t>
      </w:r>
    </w:p>
    <w:p w14:paraId="64DDA9D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447BE90E" w14:textId="77777777" w:rsidR="00B61599" w:rsidRDefault="00B61599"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516E5027"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3. - Apertura delle buste ed eventuale gara tra gli offerenti </w:t>
      </w:r>
    </w:p>
    <w:p w14:paraId="1005BF63"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L’esame delle offerte e lo svolgimento dell’eventuale gara sarà effettuato presso lo Studio del Commissionario sito in Trento presso la Sala Aste in Via Fersina 12/A. </w:t>
      </w:r>
    </w:p>
    <w:p w14:paraId="478BFCED" w14:textId="77777777" w:rsidR="00497920" w:rsidRDefault="00497920" w:rsidP="00497920">
      <w:pPr>
        <w:widowControl w:val="0"/>
        <w:pBdr>
          <w:top w:val="nil"/>
          <w:left w:val="nil"/>
          <w:bottom w:val="nil"/>
          <w:right w:val="nil"/>
          <w:between w:val="nil"/>
        </w:pBdr>
        <w:spacing w:before="6"/>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Commissionario utilizzerà il portale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Le buste telematiche e cartacee contenenti le offerte verranno aperte dal Commissionario solo nella data ed all’orario dell’udienza di vendita, sopra indicati. </w:t>
      </w:r>
    </w:p>
    <w:p w14:paraId="57469C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degli offerenti all’udienza di vendita avrà luogo: </w:t>
      </w:r>
    </w:p>
    <w:p w14:paraId="27A88263"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telematico: esclusivamente tramite l’area riservata del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w:t>
      </w:r>
    </w:p>
    <w:p w14:paraId="0F590E6B" w14:textId="1A6B765D"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cartaceo: mediante presenza presso lo Studio del Commissionario sito in Trento, presso la Sala Aste in Via Fersina 12/A. </w:t>
      </w:r>
    </w:p>
    <w:p w14:paraId="668AE321" w14:textId="77777777" w:rsidR="00497920" w:rsidRDefault="00497920" w:rsidP="00497920">
      <w:pPr>
        <w:widowControl w:val="0"/>
        <w:pBdr>
          <w:top w:val="nil"/>
          <w:left w:val="nil"/>
          <w:bottom w:val="nil"/>
          <w:right w:val="nil"/>
          <w:between w:val="nil"/>
        </w:pBdr>
        <w:spacing w:before="282"/>
        <w:ind w:right="306" w:firstLin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Si precisa che </w:t>
      </w:r>
      <w:r>
        <w:rPr>
          <w:rFonts w:ascii="Times New Roman" w:eastAsia="Times New Roman" w:hAnsi="Times New Roman" w:cs="Times New Roman"/>
          <w:b/>
          <w:bCs/>
          <w:color w:val="000000"/>
          <w:sz w:val="24"/>
          <w:szCs w:val="24"/>
        </w:rPr>
        <w:t xml:space="preserve">anche nel caso di mancata connessione/presenza da parte dell’unico offerente, l’aggiudicazione potrà comunque essere disposta in suo favore. </w:t>
      </w:r>
    </w:p>
    <w:p w14:paraId="79385508" w14:textId="77777777" w:rsidR="00497920" w:rsidRDefault="00497920" w:rsidP="00497920">
      <w:pPr>
        <w:widowControl w:val="0"/>
        <w:pBdr>
          <w:top w:val="nil"/>
          <w:left w:val="nil"/>
          <w:bottom w:val="nil"/>
          <w:right w:val="nil"/>
          <w:between w:val="nil"/>
        </w:pBdr>
        <w:spacing w:before="6"/>
        <w:ind w:right="297"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Nell’ipotesi di presentazione di </w:t>
      </w:r>
      <w:r>
        <w:rPr>
          <w:rFonts w:ascii="Times New Roman" w:eastAsia="Times New Roman" w:hAnsi="Times New Roman" w:cs="Times New Roman"/>
          <w:b/>
          <w:bCs/>
          <w:color w:val="000000"/>
          <w:sz w:val="24"/>
          <w:szCs w:val="24"/>
        </w:rPr>
        <w:t xml:space="preserve">più offerte valide </w:t>
      </w:r>
      <w:r>
        <w:rPr>
          <w:rFonts w:ascii="Times New Roman" w:eastAsia="Times New Roman" w:hAnsi="Times New Roman" w:cs="Times New Roman"/>
          <w:color w:val="000000"/>
          <w:sz w:val="24"/>
          <w:szCs w:val="24"/>
        </w:rPr>
        <w:t xml:space="preserve">si procederà con gara tra gli offerenti mediante la piattaforma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sul prezzo offerto più alto (</w:t>
      </w:r>
      <w:r>
        <w:rPr>
          <w:rFonts w:ascii="Times New Roman" w:eastAsia="Times New Roman" w:hAnsi="Times New Roman" w:cs="Times New Roman"/>
          <w:color w:val="000000"/>
          <w:sz w:val="24"/>
          <w:szCs w:val="24"/>
          <w:u w:val="single"/>
        </w:rPr>
        <w:t>tanto</w:t>
      </w:r>
      <w:r>
        <w:rPr>
          <w:rFonts w:ascii="Times New Roman" w:eastAsia="Times New Roman" w:hAnsi="Times New Roman" w:cs="Times New Roman"/>
          <w:color w:val="000000"/>
          <w:sz w:val="24"/>
          <w:szCs w:val="24"/>
        </w:rPr>
        <w:t xml:space="preserve">, anche in presenza di due o più offerte di identico importo). </w:t>
      </w:r>
    </w:p>
    <w:p w14:paraId="01231144"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quindi, avrà inizio subito dopo l’apertura delle buste di offerte ed il vaglio di ammissibilità di tutte le offerte ricevute. </w:t>
      </w:r>
    </w:p>
    <w:p w14:paraId="395A0CD5"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offerte giudicate regolari abiliteranno automaticamente l’offerente alla partecipazione alla gara. </w:t>
      </w:r>
    </w:p>
    <w:p w14:paraId="4EAB2AE2" w14:textId="77777777" w:rsidR="00497920" w:rsidRDefault="00497920" w:rsidP="00497920">
      <w:pPr>
        <w:widowControl w:val="0"/>
        <w:pBdr>
          <w:top w:val="nil"/>
          <w:left w:val="nil"/>
          <w:bottom w:val="nil"/>
          <w:right w:val="nil"/>
          <w:between w:val="nil"/>
        </w:pBdr>
        <w:spacing w:before="271"/>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Ogni rilancio durante la gara, dovrà essere non inferiore a euro 4.000,00; </w:t>
      </w:r>
      <w:r>
        <w:rPr>
          <w:rFonts w:ascii="Times New Roman" w:eastAsia="Times New Roman" w:hAnsi="Times New Roman" w:cs="Times New Roman"/>
          <w:color w:val="000000"/>
          <w:sz w:val="24"/>
          <w:szCs w:val="24"/>
        </w:rPr>
        <w:t xml:space="preserve">in caso di gara tra gli offerenti, aggiudicherà al maggior offerente (allorché siano trascorsi 180 secondi dall’ultima offerta senza che ne segua altra maggiore). </w:t>
      </w:r>
    </w:p>
    <w:p w14:paraId="17990DCD" w14:textId="77777777" w:rsidR="00497920" w:rsidRDefault="00497920" w:rsidP="00497920">
      <w:pPr>
        <w:widowControl w:val="0"/>
        <w:pBdr>
          <w:top w:val="nil"/>
          <w:left w:val="nil"/>
          <w:bottom w:val="nil"/>
          <w:right w:val="nil"/>
          <w:between w:val="nil"/>
        </w:pBdr>
        <w:spacing w:before="282"/>
        <w:ind w:right="24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Al termine della gara</w:t>
      </w:r>
      <w:r>
        <w:rPr>
          <w:rFonts w:ascii="Times New Roman" w:eastAsia="Times New Roman" w:hAnsi="Times New Roman" w:cs="Times New Roman"/>
          <w:color w:val="000000"/>
          <w:sz w:val="24"/>
          <w:szCs w:val="24"/>
        </w:rPr>
        <w:t xml:space="preserve">, comprensiva degli eventuali prolungamenti, il </w:t>
      </w:r>
      <w:r>
        <w:rPr>
          <w:rFonts w:ascii="Times New Roman" w:eastAsia="Times New Roman" w:hAnsi="Times New Roman" w:cs="Times New Roman"/>
          <w:b/>
          <w:bCs/>
          <w:color w:val="000000"/>
          <w:sz w:val="24"/>
          <w:szCs w:val="24"/>
        </w:rPr>
        <w:t>Commissionario procederà all’aggiudicazione</w:t>
      </w:r>
      <w:r>
        <w:rPr>
          <w:rFonts w:ascii="Times New Roman" w:eastAsia="Times New Roman" w:hAnsi="Times New Roman" w:cs="Times New Roman"/>
          <w:color w:val="000000"/>
          <w:sz w:val="24"/>
          <w:szCs w:val="24"/>
        </w:rPr>
        <w:t xml:space="preserve">, stilando apposito verbale. </w:t>
      </w:r>
    </w:p>
    <w:p w14:paraId="65B321F3" w14:textId="77777777" w:rsidR="00497920" w:rsidRDefault="00497920" w:rsidP="00497920">
      <w:pPr>
        <w:widowControl w:val="0"/>
        <w:pBdr>
          <w:top w:val="nil"/>
          <w:left w:val="nil"/>
          <w:bottom w:val="nil"/>
          <w:right w:val="nil"/>
          <w:between w:val="nil"/>
        </w:pBdr>
        <w:spacing w:before="282"/>
        <w:ind w:right="2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caso in cui non vi siano state offerte in aumento in fase di gara (dimostrando così la mancata volontà di ogni offerente di aderire alla gara), l’aggiudicazione avverrà sulla scorta degli elementi di seguito elencati (in ordine di priorità): </w:t>
      </w:r>
    </w:p>
    <w:p w14:paraId="242A55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maggior importo del prezzo offerto; </w:t>
      </w:r>
    </w:p>
    <w:p w14:paraId="07106B0B"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di prezzo offerto, maggior importo della cauzione versata; </w:t>
      </w:r>
    </w:p>
    <w:p w14:paraId="2125CCF4" w14:textId="77777777"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cauzione prestata, minor termine indicato per il versamento del prezzo; </w:t>
      </w:r>
    </w:p>
    <w:p w14:paraId="1BE7443D" w14:textId="16ADB5D8"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termine per il versamento del prezzo, priorità temporale nel deposito dell’offerta. </w:t>
      </w:r>
    </w:p>
    <w:p w14:paraId="12319754"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Gli interessati all’acquisto possono visionare il compendio pignorato collegandosi al Portale delle Vendite e utilizzando l’apposito form di “richiesta prenotazione visita”. </w:t>
      </w:r>
    </w:p>
    <w:p w14:paraId="3C2FEF6C" w14:textId="77777777" w:rsidR="00B61599" w:rsidRDefault="00B61599"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p>
    <w:p w14:paraId="36DA1B2D" w14:textId="77777777" w:rsidR="00B61599" w:rsidRDefault="00B61599"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p>
    <w:p w14:paraId="1E468AA9" w14:textId="1600C6DF"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4 - Trasferimento del bene </w:t>
      </w:r>
    </w:p>
    <w:p w14:paraId="1342359C" w14:textId="77777777" w:rsidR="00497920" w:rsidRDefault="00497920" w:rsidP="00497920">
      <w:pPr>
        <w:widowControl w:val="0"/>
        <w:pBdr>
          <w:top w:val="nil"/>
          <w:left w:val="nil"/>
          <w:bottom w:val="nil"/>
          <w:right w:val="nil"/>
          <w:between w:val="nil"/>
        </w:pBdr>
        <w:ind w:right="239"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Il trasferimento del lotto a favore dell’aggiudicatario avverrà mediante rogito notarile presso il </w:t>
      </w:r>
      <w:r>
        <w:rPr>
          <w:rFonts w:ascii="Times New Roman" w:eastAsia="Times New Roman" w:hAnsi="Times New Roman" w:cs="Times New Roman"/>
          <w:b/>
          <w:bCs/>
          <w:color w:val="000000"/>
          <w:sz w:val="24"/>
          <w:szCs w:val="24"/>
        </w:rPr>
        <w:t xml:space="preserve">Notaio Alfredo Dondi, in Piazza Silvio Pellico, 12 – 38122 (TN). </w:t>
      </w:r>
    </w:p>
    <w:p w14:paraId="6E0F6EB2" w14:textId="10FA7AAF" w:rsidR="00497920" w:rsidRDefault="00157D22" w:rsidP="00497920">
      <w:pPr>
        <w:widowControl w:val="0"/>
        <w:pBdr>
          <w:top w:val="nil"/>
          <w:left w:val="nil"/>
          <w:bottom w:val="nil"/>
          <w:right w:val="nil"/>
          <w:between w:val="nil"/>
        </w:pBdr>
        <w:spacing w:before="6"/>
        <w:ind w:right="239" w:firstLine="2"/>
        <w:jc w:val="both"/>
        <w:rPr>
          <w:rFonts w:ascii="Times New Roman" w:eastAsia="Times New Roman" w:hAnsi="Times New Roman" w:cs="Times New Roman"/>
          <w:color w:val="000000"/>
          <w:sz w:val="24"/>
          <w:szCs w:val="24"/>
        </w:rPr>
      </w:pPr>
      <w:r w:rsidRPr="00157D22">
        <w:rPr>
          <w:rFonts w:ascii="Times New Roman" w:eastAsia="Times New Roman" w:hAnsi="Times New Roman" w:cs="Times New Roman"/>
          <w:color w:val="000000"/>
          <w:sz w:val="24"/>
          <w:szCs w:val="24"/>
        </w:rPr>
        <w:t xml:space="preserve">L’aggiudicatario dovrà depositare mediante bonifico bancario sul conto corrente della procedura L.G. 31/2025 – XENA IMMOBILIARE SRL </w:t>
      </w:r>
      <w:r w:rsidRPr="00157D22">
        <w:rPr>
          <w:rFonts w:ascii="Times New Roman" w:eastAsia="Times New Roman" w:hAnsi="Times New Roman" w:cs="Times New Roman"/>
          <w:b/>
          <w:bCs/>
          <w:color w:val="000000"/>
          <w:sz w:val="24"/>
          <w:szCs w:val="24"/>
          <w:u w:val="single"/>
        </w:rPr>
        <w:t>IT 14M0830401833000033439659 Banca per il Trentino alto Adige</w:t>
      </w:r>
      <w:r w:rsidR="00497920">
        <w:rPr>
          <w:rFonts w:ascii="Times New Roman" w:eastAsia="Times New Roman" w:hAnsi="Times New Roman" w:cs="Times New Roman"/>
          <w:color w:val="000000"/>
          <w:sz w:val="24"/>
          <w:szCs w:val="24"/>
        </w:rPr>
        <w:t xml:space="preserve"> il residuo prezzo (detratto l’importo già versato a titolo di cauzione), nel termine indicato nell’offerta nel termine </w:t>
      </w:r>
      <w:r w:rsidR="00497920">
        <w:rPr>
          <w:rFonts w:ascii="Times New Roman" w:eastAsia="Times New Roman" w:hAnsi="Times New Roman" w:cs="Times New Roman"/>
          <w:b/>
          <w:bCs/>
          <w:color w:val="000000"/>
          <w:sz w:val="24"/>
          <w:szCs w:val="24"/>
        </w:rPr>
        <w:t xml:space="preserve">di 90 giorni dall’aggiudicazione </w:t>
      </w:r>
      <w:r w:rsidR="00497920">
        <w:rPr>
          <w:rFonts w:ascii="Times New Roman" w:eastAsia="Times New Roman" w:hAnsi="Times New Roman" w:cs="Times New Roman"/>
          <w:color w:val="000000"/>
          <w:sz w:val="24"/>
          <w:szCs w:val="24"/>
        </w:rPr>
        <w:t xml:space="preserve">(termine non soggetto a sospensione feriale). </w:t>
      </w:r>
    </w:p>
    <w:p w14:paraId="61169860" w14:textId="77777777" w:rsidR="00497920" w:rsidRDefault="00497920" w:rsidP="00497920">
      <w:pPr>
        <w:widowControl w:val="0"/>
        <w:pBdr>
          <w:top w:val="nil"/>
          <w:left w:val="nil"/>
          <w:bottom w:val="nil"/>
          <w:right w:val="nil"/>
          <w:between w:val="nil"/>
        </w:pBdr>
        <w:spacing w:before="5"/>
        <w:ind w:right="2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vendita è soggetta alle imposte di registro, ipotecarie e catastali nella misura prevista dalla legge; tali oneri fiscali saranno a carico dell’aggiudicatario da depositarsi nello stesso termine e con le stesse modalità. </w:t>
      </w:r>
    </w:p>
    <w:p w14:paraId="3AE08280" w14:textId="77777777" w:rsidR="00497920" w:rsidRDefault="00497920" w:rsidP="00497920">
      <w:pPr>
        <w:widowControl w:val="0"/>
        <w:pBdr>
          <w:top w:val="nil"/>
          <w:left w:val="nil"/>
          <w:bottom w:val="nil"/>
          <w:right w:val="nil"/>
          <w:between w:val="nil"/>
        </w:pBdr>
        <w:spacing w:before="282"/>
        <w:ind w:right="241"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l’aggiudicatario intenderà, sussistendone i presupposti, beneficiare delle agevolazioni per la cd.  “prima casa” o di altre agevolazioni previste dalla legge, dovrà dichiararlo all’atto dell’aggiudicazione o mediante apposita dichiarazione scritta contenente l’attestazione della sussistenza dei requisiti di legge, da comunicare nei cinque giorni successivi. </w:t>
      </w:r>
    </w:p>
    <w:p w14:paraId="51FB4A5B" w14:textId="77777777" w:rsidR="00497920" w:rsidRDefault="00497920" w:rsidP="00497920">
      <w:pPr>
        <w:widowControl w:val="0"/>
        <w:pBdr>
          <w:top w:val="nil"/>
          <w:left w:val="nil"/>
          <w:bottom w:val="nil"/>
          <w:right w:val="nil"/>
          <w:between w:val="nil"/>
        </w:pBdr>
        <w:spacing w:before="6"/>
        <w:ind w:right="243"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rifiuto o inadempimento dell’obbligo di versare quanto sopra, nel termine indicato di 60 giorni, da parte dell’aggiudicatario o del terzo dallo stesso nominato, l’aggiudicazione si intenderà revocata automaticamente e la cauzione a corredo dell’offerta sarà trattenuta dalla procedura a titolo di penale per l’inadempimento, salvo il risarcimento del maggior danno. In tale caso, il Commissionario potrà, a suo insindacabile giudizio, indire un nuovo esperimento di vendita ovvero dar luogo all'aggiudicazione a favore del soggetto che abbia presentato la seconda offerta di importo più elevato rispetto a quella formulata dall'aggiudicatario decaduto. </w:t>
      </w:r>
    </w:p>
    <w:p w14:paraId="30606771" w14:textId="77777777" w:rsidR="00497920" w:rsidRDefault="00497920" w:rsidP="00497920">
      <w:pPr>
        <w:widowControl w:val="0"/>
        <w:pBdr>
          <w:top w:val="nil"/>
          <w:left w:val="nil"/>
          <w:bottom w:val="nil"/>
          <w:right w:val="nil"/>
          <w:between w:val="nil"/>
        </w:pBdr>
        <w:spacing w:before="5"/>
        <w:ind w:right="240"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L’aggiudicatario sarà immesso nel possesso dei beni a cura del Commissionario, salvo che venga esentato dall’aggiudicatario. Da quel momento saranno a carico dell’acquirente tutti gli oneri relativi ai detti beni, compresi quelli relativi alla vigilanza, alle utenze, imposte e tasse, e ogni altro onere di pertinenza. </w:t>
      </w:r>
    </w:p>
    <w:p w14:paraId="7D6D207B"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 Principali condizioni della vendita</w:t>
      </w:r>
    </w:p>
    <w:p w14:paraId="50FAB7C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indicano di seguito, a titolo non esaustivo e con riserva di eventuali modifiche e/o integrazioni, le principali condizioni contrattuali della vendita immobiliare che sarà conclusa con l’aggiudicatario: </w:t>
      </w: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la vendita avviene nello stato di fatto e di diritto in cui l’immobile si trova, come dettagliatamente descritto nella perizia redatta dall’esperto stimatore dell’esecuzione di cui in premessa, con tutte le eventuali pertinenze, accessori, ragioni ed azioni, servitù attive e passive; la vendita è a corpo e non a misura; eventuali differenze di misura non potranno dar luogo ad alcun risarcimento, indennità o riduzione di prezzo; </w:t>
      </w:r>
    </w:p>
    <w:p w14:paraId="486EB32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iscrizioni e trascrizioni pregiudizievoli gravanti sull’immobile saranno cancellate tempestivamente dopo l’emissione del decreto di trasferimento, a cura e spese della procedura (v.  infra al punto successivo); </w:t>
      </w:r>
    </w:p>
    <w:p w14:paraId="0BE1014B"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l’esistenza di eventuali vizi, difetti, mancanza di qualità o difformità dell’immobile venduto, oneri  di qualsiasi genere (ivi compresi, ad esempio, quelli urbanistici ovvero derivanti dalla eventuale  necessità di adeguamento di impianti alle leggi vigenti, le spese condominiali dell’anno in corso e  dell’anno precedente non pagate dal debitore) per qualsiasi motivo non considerati, anche se  occulti e comunque non evidenziati nella perizia di cui sopra o emersi dopo la compravendita, non  </w:t>
      </w:r>
      <w:r>
        <w:rPr>
          <w:rFonts w:ascii="Times New Roman" w:eastAsia="Times New Roman" w:hAnsi="Times New Roman" w:cs="Times New Roman"/>
          <w:color w:val="000000"/>
          <w:sz w:val="24"/>
          <w:szCs w:val="24"/>
        </w:rPr>
        <w:lastRenderedPageBreak/>
        <w:t xml:space="preserve">potranno dar luogo ad alcun risarcimento anche in deroga all’art. 1494 c.c., indennità o riduzione  del prezzo, essendosi di ciò tenuto conto nell'elaborazione del prezzo a base d'asta, e in relazione  agli stessi l’acquirente rinuncia a qualsiasi azione risolutoria, risarcitoria e/o indennitaria nei  confronti del fallimento; </w:t>
      </w:r>
    </w:p>
    <w:p w14:paraId="1A5F0E85" w14:textId="5DC28E7C"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adeguamenti degli immobili e dei suoi impianti alle norme in materia di tutela ecologica,  ambientale, energetica nonché, in generale, alle disposizioni di legge vigenti, sono a carico  esclusivo dell’acquirente; sarà inoltre onere dell’acquirente, a propria cura e spese, la dotazione  della certificazione tecnico/amministrativa prevista dalle vigenti normative, dispensando  espressamente la procedura fallimentare della produzione ed allegazione (es. attestato prestazione  energetica, conformità impianti). Si ricorda che l’attestato di prestazione energetica, qualora mancante, sarà a totale carico dell’aggiudicatario il quale dovrà produrlo e depositarlo al Commissionario IVG entro il termine perentorio stabilito per il saldo prezzo. </w:t>
      </w:r>
    </w:p>
    <w:p w14:paraId="4BBCC8E0" w14:textId="77777777" w:rsidR="00497920" w:rsidRDefault="00497920" w:rsidP="00497920">
      <w:pPr>
        <w:widowControl w:val="0"/>
        <w:pBdr>
          <w:top w:val="nil"/>
          <w:left w:val="nil"/>
          <w:bottom w:val="nil"/>
          <w:right w:val="nil"/>
          <w:between w:val="nil"/>
        </w:pBdr>
        <w:spacing w:before="6"/>
        <w:ind w:right="243"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Sono a esclusivo carico dell’acquirente tutte le spese, gli oneri fiscali ed i tributi occorrenti per perfezionare il trasferimento del bene oggetto della presente vendita (I.V.A., imposta di registrazione, costi di trascrizione e quant’altro occorrente), mente le spese per la cancellazione delle formalità pregiudizievoli esistenti saranno a carico della procedura. </w:t>
      </w:r>
    </w:p>
    <w:p w14:paraId="24731AEF" w14:textId="51FB5058"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 Avvertimenti e disposizioni generali </w:t>
      </w:r>
    </w:p>
    <w:p w14:paraId="6EDD0954" w14:textId="77777777" w:rsidR="00497920" w:rsidRDefault="00497920" w:rsidP="00497920">
      <w:pPr>
        <w:widowControl w:val="0"/>
        <w:pBdr>
          <w:top w:val="nil"/>
          <w:left w:val="nil"/>
          <w:bottom w:val="nil"/>
          <w:right w:val="nil"/>
          <w:between w:val="nil"/>
        </w:pBdr>
        <w:ind w:right="241"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avvertono gli offerenti che, la cancellazione delle iscrizioni relative ai diritti di prelazione, nonché delle trascrizioni dei pignoramenti e dei sequestri conservativi e di ogni altro vincolo sull’immobile sarà ordinata dal giudice “una volta eseguita la vendita e riscosso interamente il prezzo”. Si precisa altresì che il presente avviso di vendita, corredato dal disciplinare di gara e dalle condizioni generali di vendita sarà comunicato a ciascuno dei creditori ipotecari o comunque munito di privilegio, risultante dai pubblici registri, nonché agli eventuali conduttori con contratto opponibile alla procedura, almeno 30 giorni prima della vendita. </w:t>
      </w:r>
    </w:p>
    <w:p w14:paraId="30BBD8CC" w14:textId="77777777" w:rsidR="00497920" w:rsidRDefault="00497920" w:rsidP="00497920">
      <w:pPr>
        <w:widowControl w:val="0"/>
        <w:pBdr>
          <w:top w:val="nil"/>
          <w:left w:val="nil"/>
          <w:bottom w:val="nil"/>
          <w:right w:val="nil"/>
          <w:between w:val="nil"/>
        </w:pBdr>
        <w:spacing w:before="6"/>
        <w:ind w:right="242"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46 comma 5 d.p.r. 380/2001 l'aggiudicatario, qualora l'immobile si trovi nelle condizioni previste per il rilascio del permesso di costruire in sanatoria (cfr. anche art. 40/6 capo IV della legge 28 febbraio 1985 n. 47), dovrà presentare domanda di permesso in sanatoria entro centoventi giorni dalla vendita. </w:t>
      </w:r>
    </w:p>
    <w:p w14:paraId="3178D88F" w14:textId="77777777" w:rsidR="00497920" w:rsidRDefault="00497920" w:rsidP="00497920">
      <w:pPr>
        <w:widowControl w:val="0"/>
        <w:pBdr>
          <w:top w:val="nil"/>
          <w:left w:val="nil"/>
          <w:bottom w:val="nil"/>
          <w:right w:val="nil"/>
          <w:between w:val="nil"/>
        </w:pBdr>
        <w:spacing w:before="5"/>
        <w:ind w:right="245"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Grava su ciascun partecipante alla gara di vendita l’onere di prendere preventiva, integrale ed accurata visione del presente avviso di vendita, della perizia di stima del disciplinare di gara, del modello di presentazione delle offerte, nonché delle condizioni generali di vendita. </w:t>
      </w:r>
    </w:p>
    <w:p w14:paraId="0418C69C" w14:textId="77777777" w:rsidR="00497920" w:rsidRDefault="00497920" w:rsidP="00497920">
      <w:pPr>
        <w:widowControl w:val="0"/>
        <w:pBdr>
          <w:top w:val="nil"/>
          <w:left w:val="nil"/>
          <w:bottom w:val="nil"/>
          <w:right w:val="nil"/>
          <w:between w:val="nil"/>
        </w:pBdr>
        <w:spacing w:before="6"/>
        <w:ind w:right="241"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precisa che la liquidazione del complesso immobiliare è da intendersi effettuata alla condizione “visto e piaciuto nello stato di fatto in cui si trova” e l’aggiudicatario non potrà muovere obiezione alcuna sui beni acquistati, successivamente all’aggiudicazione. Gli organi della procedura concorsuale si riservano, a proprio insindacabile giudizio e senza obbligo di motivazione, di poter </w:t>
      </w:r>
    </w:p>
    <w:p w14:paraId="45880E49" w14:textId="77777777" w:rsidR="00497920" w:rsidRDefault="00497920" w:rsidP="00497920">
      <w:pPr>
        <w:widowControl w:val="0"/>
        <w:pBdr>
          <w:top w:val="nil"/>
          <w:left w:val="nil"/>
          <w:bottom w:val="nil"/>
          <w:right w:val="nil"/>
          <w:between w:val="nil"/>
        </w:pBdr>
        <w:ind w:right="24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sospendere ovvero interrompere definitivamente la procedura di aggiudicazione in qualsiasi momento. Quindi, nel caso in cui, per qualsiasi motivo, non sia possibile effettuare l’aggiudicazione definitiva, nessun tipo di risarcimento o spesa verrà riconosciuto agli offerenti. </w:t>
      </w:r>
    </w:p>
    <w:p w14:paraId="0F98E887" w14:textId="77777777"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7 - Foro competente </w:t>
      </w:r>
    </w:p>
    <w:p w14:paraId="781D4CFE"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alla vendita implica: </w:t>
      </w:r>
    </w:p>
    <w:p w14:paraId="171FB731"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lettura integrale della relazione peritale e dei relativi allegati; </w:t>
      </w:r>
    </w:p>
    <w:p w14:paraId="36C3A3A6"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l’accettazione incondizionata di quanto contenuto nel presente avviso;  </w:t>
      </w:r>
    </w:p>
    <w:p w14:paraId="11415B8E" w14:textId="126CB697" w:rsidR="00B61599" w:rsidRPr="00B61599" w:rsidRDefault="00497920" w:rsidP="00B61599">
      <w:pPr>
        <w:widowControl w:val="0"/>
        <w:pBdr>
          <w:top w:val="nil"/>
          <w:left w:val="nil"/>
          <w:bottom w:val="nil"/>
          <w:right w:val="nil"/>
          <w:between w:val="nil"/>
        </w:pBdr>
        <w:ind w:right="2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ogni e qualsiasi controversia relativa al presente avviso di vendita corredato dal disciplinare di </w:t>
      </w:r>
      <w:r>
        <w:rPr>
          <w:rFonts w:ascii="Times New Roman" w:eastAsia="Times New Roman" w:hAnsi="Times New Roman" w:cs="Times New Roman"/>
          <w:color w:val="000000"/>
          <w:sz w:val="24"/>
          <w:szCs w:val="24"/>
        </w:rPr>
        <w:lastRenderedPageBreak/>
        <w:t>gara e dalle condizioni generali di vendita, alla sua interpretazione, esecuzione, validità o efficacia, nonché per ogni altra controversia comunque connessa al medesimo e/o alla presente procedura competitiva sarà competente in via esclusiva il foro di Trento.</w:t>
      </w:r>
    </w:p>
    <w:p w14:paraId="1D468AC3" w14:textId="4E6B9BB5"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8 - Pubblicazione e pubblicità </w:t>
      </w:r>
    </w:p>
    <w:p w14:paraId="30348A33" w14:textId="77777777"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pubblicità sarà effettuata a norma dell'art. 490 del c.p.c. secondo le modalità: - pubblicazione dell'ordinanza e dell’avviso di vendita, sul portale delle vendite pubbliche del Ministero della Giustizia; </w:t>
      </w:r>
    </w:p>
    <w:p w14:paraId="3BA5484F" w14:textId="0B5753BF"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 xml:space="preserve">sito abilitato alla pubblicazione degli avvisi ex art. 490 co.2 c.p.c. </w:t>
      </w:r>
    </w:p>
    <w:p w14:paraId="628B911E"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www.tribunale.trento.giustizia.it </w:t>
      </w:r>
    </w:p>
    <w:p w14:paraId="3EB2A0C6" w14:textId="1362002D" w:rsidR="00497920" w:rsidRPr="00B61599" w:rsidRDefault="00497920" w:rsidP="00B61599">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w:t>
      </w:r>
      <w:r w:rsidR="003F7604">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sui siti </w:t>
      </w:r>
      <w:r>
        <w:rPr>
          <w:rFonts w:ascii="Times New Roman" w:eastAsia="Times New Roman" w:hAnsi="Times New Roman" w:cs="Times New Roman"/>
          <w:color w:val="0563C1"/>
          <w:sz w:val="24"/>
          <w:szCs w:val="24"/>
          <w:u w:val="single"/>
        </w:rPr>
        <w:t>www.astalegale.net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www.portaleaste.com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 xml:space="preserve">www.asteimmobili.it </w:t>
      </w:r>
      <w:r>
        <w:rPr>
          <w:rFonts w:ascii="Times New Roman" w:eastAsia="Times New Roman" w:hAnsi="Times New Roman" w:cs="Times New Roman"/>
          <w:color w:val="000000"/>
          <w:sz w:val="24"/>
          <w:szCs w:val="24"/>
        </w:rPr>
        <w:t>e www.publicomonline.it</w:t>
      </w:r>
      <w:r>
        <w:rPr>
          <w:rFonts w:ascii="Times New Roman" w:eastAsia="Times New Roman" w:hAnsi="Times New Roman" w:cs="Times New Roman"/>
          <w:color w:val="0563C1"/>
          <w:sz w:val="24"/>
          <w:szCs w:val="24"/>
          <w:u w:val="single"/>
        </w:rPr>
        <w:t>.</w:t>
      </w:r>
      <w:r>
        <w:rPr>
          <w:rFonts w:ascii="Times New Roman" w:eastAsia="Times New Roman" w:hAnsi="Times New Roman" w:cs="Times New Roman"/>
          <w:color w:val="000000"/>
          <w:sz w:val="24"/>
          <w:szCs w:val="24"/>
        </w:rPr>
        <w:t xml:space="preserve"> </w:t>
      </w:r>
    </w:p>
    <w:p w14:paraId="20EAE417" w14:textId="3F732080"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presente avviso di vendita non costituisce offerta al pubblico ai sensi dell’art. 1336 c.c. Il trattamento dei dati personali comunicati dagli offerenti si svolgerà in conformità alle disposizioni del Regolamento (UE) 2016/679. </w:t>
      </w:r>
    </w:p>
    <w:p w14:paraId="40842D3A"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2928ECEA" w14:textId="77777777" w:rsidR="00497920" w:rsidRDefault="00497920" w:rsidP="00497920">
      <w:pPr>
        <w:widowControl w:val="0"/>
        <w:pBdr>
          <w:top w:val="nil"/>
          <w:left w:val="nil"/>
          <w:bottom w:val="nil"/>
          <w:right w:val="nil"/>
          <w:between w:val="nil"/>
        </w:pBdr>
        <w:spacing w:before="282" w:line="229" w:lineRule="auto"/>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Trento, lì 09 Ottobre 2026 </w:t>
      </w:r>
    </w:p>
    <w:p w14:paraId="221590E5" w14:textId="77777777" w:rsidR="00497920" w:rsidRDefault="00497920" w:rsidP="00497920">
      <w:pPr>
        <w:widowControl w:val="0"/>
        <w:pBdr>
          <w:top w:val="nil"/>
          <w:left w:val="nil"/>
          <w:bottom w:val="nil"/>
          <w:right w:val="nil"/>
          <w:between w:val="nil"/>
        </w:pBdr>
        <w:spacing w:before="548" w:line="240" w:lineRule="auto"/>
        <w:ind w:left="2124" w:right="129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Commissionario IVG</w:t>
      </w:r>
    </w:p>
    <w:p w14:paraId="72D5C674"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6FD0BFA0"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5ADFAB83" w14:textId="77777777"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01F90A1E" w14:textId="77777777" w:rsidR="00240ECC"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5D7E94C1"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p>
    <w:p w14:paraId="644446E7" w14:textId="77777777" w:rsidR="002963BE" w:rsidRDefault="002963BE" w:rsidP="009E0FC6">
      <w:pPr>
        <w:autoSpaceDE w:val="0"/>
        <w:autoSpaceDN w:val="0"/>
        <w:adjustRightInd w:val="0"/>
        <w:jc w:val="both"/>
        <w:rPr>
          <w:rFonts w:ascii="Times New Roman" w:hAnsi="Times New Roman" w:cs="Times New Roman"/>
          <w:sz w:val="24"/>
          <w:szCs w:val="24"/>
        </w:rPr>
      </w:pPr>
    </w:p>
    <w:p w14:paraId="35593B36" w14:textId="77777777" w:rsidR="00E531D8" w:rsidRDefault="00E531D8" w:rsidP="009E0FC6">
      <w:pPr>
        <w:autoSpaceDE w:val="0"/>
        <w:autoSpaceDN w:val="0"/>
        <w:adjustRightInd w:val="0"/>
        <w:jc w:val="both"/>
        <w:rPr>
          <w:rFonts w:ascii="Times New Roman" w:hAnsi="Times New Roman" w:cs="Times New Roman"/>
          <w:sz w:val="24"/>
          <w:szCs w:val="24"/>
        </w:rPr>
      </w:pPr>
    </w:p>
    <w:p w14:paraId="0CC98610" w14:textId="77777777" w:rsidR="00E531D8" w:rsidRDefault="00E531D8" w:rsidP="009E0FC6">
      <w:pPr>
        <w:widowControl w:val="0"/>
        <w:pBdr>
          <w:top w:val="nil"/>
          <w:left w:val="nil"/>
          <w:bottom w:val="nil"/>
          <w:right w:val="nil"/>
          <w:between w:val="nil"/>
        </w:pBdr>
        <w:spacing w:before="192"/>
        <w:ind w:right="4027"/>
        <w:jc w:val="both"/>
        <w:rPr>
          <w:rFonts w:ascii="Times New Roman" w:eastAsia="Times New Roman" w:hAnsi="Times New Roman" w:cs="Times New Roman"/>
          <w:b/>
          <w:bCs/>
          <w:color w:val="000000"/>
          <w:sz w:val="24"/>
          <w:szCs w:val="24"/>
        </w:rPr>
      </w:pPr>
    </w:p>
    <w:p w14:paraId="081F81F6" w14:textId="77777777" w:rsidR="00B91EFE" w:rsidRDefault="00B91EFE" w:rsidP="009E0FC6">
      <w:pPr>
        <w:jc w:val="both"/>
      </w:pPr>
    </w:p>
    <w:sectPr w:rsidR="00B91EFE">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1A5E8" w14:textId="77777777" w:rsidR="003C3367" w:rsidRDefault="003C3367" w:rsidP="00E531D8">
      <w:pPr>
        <w:spacing w:line="240" w:lineRule="auto"/>
      </w:pPr>
      <w:r>
        <w:separator/>
      </w:r>
    </w:p>
  </w:endnote>
  <w:endnote w:type="continuationSeparator" w:id="0">
    <w:p w14:paraId="7FFA0DAE" w14:textId="77777777" w:rsidR="003C3367" w:rsidRDefault="003C3367" w:rsidP="00E53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685807"/>
      <w:docPartObj>
        <w:docPartGallery w:val="Page Numbers (Bottom of Page)"/>
        <w:docPartUnique/>
      </w:docPartObj>
    </w:sdtPr>
    <w:sdtContent>
      <w:p w14:paraId="5CC113E9" w14:textId="21A5DDE3" w:rsidR="00E531D8" w:rsidRDefault="00E531D8">
        <w:pPr>
          <w:pStyle w:val="Pidipagina"/>
          <w:jc w:val="center"/>
        </w:pPr>
        <w:r>
          <w:fldChar w:fldCharType="begin"/>
        </w:r>
        <w:r>
          <w:instrText>PAGE   \* MERGEFORMAT</w:instrText>
        </w:r>
        <w:r>
          <w:fldChar w:fldCharType="separate"/>
        </w:r>
        <w:r>
          <w:t>2</w:t>
        </w:r>
        <w:r>
          <w:fldChar w:fldCharType="end"/>
        </w:r>
      </w:p>
    </w:sdtContent>
  </w:sdt>
  <w:p w14:paraId="43720267" w14:textId="77777777" w:rsidR="00E531D8" w:rsidRDefault="00E53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378E2" w14:textId="77777777" w:rsidR="003C3367" w:rsidRDefault="003C3367" w:rsidP="00E531D8">
      <w:pPr>
        <w:spacing w:line="240" w:lineRule="auto"/>
      </w:pPr>
      <w:r>
        <w:separator/>
      </w:r>
    </w:p>
  </w:footnote>
  <w:footnote w:type="continuationSeparator" w:id="0">
    <w:p w14:paraId="5893D4F9" w14:textId="77777777" w:rsidR="003C3367" w:rsidRDefault="003C3367" w:rsidP="00E531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2"/>
    <w:rsid w:val="00072730"/>
    <w:rsid w:val="00123428"/>
    <w:rsid w:val="00157D22"/>
    <w:rsid w:val="002350FD"/>
    <w:rsid w:val="00240ECC"/>
    <w:rsid w:val="002963BE"/>
    <w:rsid w:val="002B17F8"/>
    <w:rsid w:val="003A144E"/>
    <w:rsid w:val="003C3367"/>
    <w:rsid w:val="003F7604"/>
    <w:rsid w:val="003F7D01"/>
    <w:rsid w:val="00432711"/>
    <w:rsid w:val="004958F7"/>
    <w:rsid w:val="00497920"/>
    <w:rsid w:val="004E36D2"/>
    <w:rsid w:val="00513B62"/>
    <w:rsid w:val="00575CBE"/>
    <w:rsid w:val="005A1994"/>
    <w:rsid w:val="005B1DF5"/>
    <w:rsid w:val="005B5654"/>
    <w:rsid w:val="005F73B5"/>
    <w:rsid w:val="006E53DE"/>
    <w:rsid w:val="006F4B6C"/>
    <w:rsid w:val="00787E31"/>
    <w:rsid w:val="007943AC"/>
    <w:rsid w:val="00854771"/>
    <w:rsid w:val="00887A19"/>
    <w:rsid w:val="008B2FB2"/>
    <w:rsid w:val="009238D7"/>
    <w:rsid w:val="00956D73"/>
    <w:rsid w:val="009708D1"/>
    <w:rsid w:val="009E0FC6"/>
    <w:rsid w:val="00A815D5"/>
    <w:rsid w:val="00AB6F1D"/>
    <w:rsid w:val="00AF2A1D"/>
    <w:rsid w:val="00B61599"/>
    <w:rsid w:val="00B74F11"/>
    <w:rsid w:val="00B91EFE"/>
    <w:rsid w:val="00C7562C"/>
    <w:rsid w:val="00D3084D"/>
    <w:rsid w:val="00D85B75"/>
    <w:rsid w:val="00DE529D"/>
    <w:rsid w:val="00E531D8"/>
    <w:rsid w:val="00EF0906"/>
    <w:rsid w:val="00F502D0"/>
    <w:rsid w:val="00FB2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BDE6"/>
  <w15:chartTrackingRefBased/>
  <w15:docId w15:val="{04C5344A-734B-4A05-A616-8DECCC1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EFE"/>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51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1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13B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13B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13B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13B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3B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3B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3B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uiPriority w:val="99"/>
    <w:semiHidden/>
    <w:unhideWhenUsed/>
    <w:rsid w:val="005B5654"/>
    <w:pPr>
      <w:framePr w:w="7920" w:h="1980" w:hRule="exact" w:hSpace="141" w:wrap="auto" w:hAnchor="page" w:xAlign="center" w:yAlign="bottom"/>
      <w:spacing w:line="240" w:lineRule="auto"/>
      <w:ind w:left="2880"/>
    </w:pPr>
    <w:rPr>
      <w:rFonts w:eastAsiaTheme="majorEastAsia" w:cstheme="majorBidi"/>
      <w:sz w:val="24"/>
      <w:szCs w:val="24"/>
    </w:rPr>
  </w:style>
  <w:style w:type="character" w:customStyle="1" w:styleId="Titolo1Carattere">
    <w:name w:val="Titolo 1 Carattere"/>
    <w:basedOn w:val="Carpredefinitoparagrafo"/>
    <w:link w:val="Titolo1"/>
    <w:uiPriority w:val="9"/>
    <w:rsid w:val="00513B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13B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13B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13B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13B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13B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3B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3B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3B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3B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3B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3B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3B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3B62"/>
    <w:rPr>
      <w:i/>
      <w:iCs/>
      <w:color w:val="404040" w:themeColor="text1" w:themeTint="BF"/>
    </w:rPr>
  </w:style>
  <w:style w:type="paragraph" w:styleId="Paragrafoelenco">
    <w:name w:val="List Paragraph"/>
    <w:basedOn w:val="Normale"/>
    <w:uiPriority w:val="34"/>
    <w:qFormat/>
    <w:rsid w:val="00513B62"/>
    <w:pPr>
      <w:ind w:left="720"/>
      <w:contextualSpacing/>
    </w:pPr>
  </w:style>
  <w:style w:type="character" w:styleId="Enfasiintensa">
    <w:name w:val="Intense Emphasis"/>
    <w:basedOn w:val="Carpredefinitoparagrafo"/>
    <w:uiPriority w:val="21"/>
    <w:qFormat/>
    <w:rsid w:val="00513B62"/>
    <w:rPr>
      <w:i/>
      <w:iCs/>
      <w:color w:val="2F5496" w:themeColor="accent1" w:themeShade="BF"/>
    </w:rPr>
  </w:style>
  <w:style w:type="paragraph" w:styleId="Citazioneintensa">
    <w:name w:val="Intense Quote"/>
    <w:basedOn w:val="Normale"/>
    <w:next w:val="Normale"/>
    <w:link w:val="CitazioneintensaCarattere"/>
    <w:uiPriority w:val="30"/>
    <w:qFormat/>
    <w:rsid w:val="0051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13B62"/>
    <w:rPr>
      <w:i/>
      <w:iCs/>
      <w:color w:val="2F5496" w:themeColor="accent1" w:themeShade="BF"/>
    </w:rPr>
  </w:style>
  <w:style w:type="character" w:styleId="Riferimentointenso">
    <w:name w:val="Intense Reference"/>
    <w:basedOn w:val="Carpredefinitoparagrafo"/>
    <w:uiPriority w:val="32"/>
    <w:qFormat/>
    <w:rsid w:val="00513B62"/>
    <w:rPr>
      <w:b/>
      <w:bCs/>
      <w:smallCaps/>
      <w:color w:val="2F5496" w:themeColor="accent1" w:themeShade="BF"/>
      <w:spacing w:val="5"/>
    </w:rPr>
  </w:style>
  <w:style w:type="character" w:styleId="Collegamentoipertestuale">
    <w:name w:val="Hyperlink"/>
    <w:basedOn w:val="Carpredefinitoparagrafo"/>
    <w:uiPriority w:val="99"/>
    <w:unhideWhenUsed/>
    <w:rsid w:val="00B91EFE"/>
    <w:rPr>
      <w:color w:val="0563C1" w:themeColor="hyperlink"/>
      <w:u w:val="single"/>
    </w:rPr>
  </w:style>
  <w:style w:type="character" w:styleId="Menzionenonrisolta">
    <w:name w:val="Unresolved Mention"/>
    <w:basedOn w:val="Carpredefinitoparagrafo"/>
    <w:uiPriority w:val="99"/>
    <w:semiHidden/>
    <w:unhideWhenUsed/>
    <w:rsid w:val="00B91EFE"/>
    <w:rPr>
      <w:color w:val="605E5C"/>
      <w:shd w:val="clear" w:color="auto" w:fill="E1DFDD"/>
    </w:rPr>
  </w:style>
  <w:style w:type="paragraph" w:styleId="Intestazione">
    <w:name w:val="header"/>
    <w:basedOn w:val="Normale"/>
    <w:link w:val="IntestazioneCarattere"/>
    <w:uiPriority w:val="99"/>
    <w:unhideWhenUsed/>
    <w:rsid w:val="00E531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531D8"/>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E531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531D8"/>
    <w:rPr>
      <w:rFonts w:ascii="Arial" w:eastAsia="Arial"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gtrento@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3599</Words>
  <Characters>20515</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User2</cp:lastModifiedBy>
  <cp:revision>5</cp:revision>
  <dcterms:created xsi:type="dcterms:W3CDTF">2026-10-15T08:41:00Z</dcterms:created>
  <dcterms:modified xsi:type="dcterms:W3CDTF">2026-10-21T13:57:00Z</dcterms:modified>
</cp:coreProperties>
</file>